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2"/>
    <w:p w14:paraId="3934BC2B" w14:textId="0A2F084E" w:rsidR="00B500CD" w:rsidRPr="00B87D86" w:rsidRDefault="00013E3E" w:rsidP="00B87D86">
      <w:pPr>
        <w:widowControl w:val="0"/>
        <w:jc w:val="right"/>
        <w:rPr>
          <w:i/>
          <w:sz w:val="18"/>
          <w:shd w:val="clear" w:color="auto" w:fill="BFBFBF"/>
        </w:rPr>
      </w:pPr>
      <w:r w:rsidRPr="00900C27">
        <w:rPr>
          <w:noProof/>
          <w:sz w:val="18"/>
          <w:szCs w:val="22"/>
        </w:rPr>
        <mc:AlternateContent>
          <mc:Choice Requires="wps">
            <w:drawing>
              <wp:anchor distT="0" distB="0" distL="114300" distR="114300" simplePos="0" relativeHeight="251660800" behindDoc="0" locked="0" layoutInCell="1" allowOverlap="1" wp14:anchorId="2043FA79" wp14:editId="652C72D3">
                <wp:simplePos x="0" y="0"/>
                <wp:positionH relativeFrom="margin">
                  <wp:align>center</wp:align>
                </wp:positionH>
                <wp:positionV relativeFrom="paragraph">
                  <wp:posOffset>-680720</wp:posOffset>
                </wp:positionV>
                <wp:extent cx="3345180" cy="699770"/>
                <wp:effectExtent l="0" t="0" r="2667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699770"/>
                        </a:xfrm>
                        <a:prstGeom prst="rect">
                          <a:avLst/>
                        </a:prstGeom>
                        <a:solidFill>
                          <a:srgbClr val="FFFF00">
                            <a:alpha val="50000"/>
                          </a:srgbClr>
                        </a:solidFill>
                        <a:ln w="9525">
                          <a:solidFill>
                            <a:srgbClr val="000000"/>
                          </a:solidFill>
                          <a:miter lim="800000"/>
                          <a:headEnd/>
                          <a:tailEnd/>
                        </a:ln>
                      </wps:spPr>
                      <wps:txbx>
                        <w:txbxContent>
                          <w:p w14:paraId="2E7D62A7" w14:textId="77777777" w:rsidR="00013E3E" w:rsidRPr="00B0063A" w:rsidRDefault="00013E3E" w:rsidP="00013E3E">
                            <w:pPr>
                              <w:pStyle w:val="Header"/>
                              <w:tabs>
                                <w:tab w:val="clear" w:pos="9360"/>
                                <w:tab w:val="right" w:pos="9630"/>
                              </w:tabs>
                              <w:jc w:val="center"/>
                              <w:rPr>
                                <w:b/>
                                <w:lang w:val="en-US"/>
                              </w:rPr>
                            </w:pPr>
                            <w:r w:rsidRPr="00B0063A">
                              <w:rPr>
                                <w:b/>
                                <w:lang w:val="en-US"/>
                              </w:rPr>
                              <w:t>DELETE THIS BOX BEFORE SAVING</w:t>
                            </w:r>
                          </w:p>
                          <w:p w14:paraId="1B3E6FDF" w14:textId="77777777" w:rsidR="00013E3E" w:rsidRPr="007E36E8" w:rsidRDefault="00013E3E" w:rsidP="00013E3E">
                            <w:pPr>
                              <w:pStyle w:val="Header"/>
                              <w:tabs>
                                <w:tab w:val="clear" w:pos="9360"/>
                                <w:tab w:val="right" w:pos="9630"/>
                              </w:tabs>
                              <w:jc w:val="center"/>
                              <w:rPr>
                                <w:sz w:val="18"/>
                                <w:lang w:val="en-US"/>
                              </w:rPr>
                            </w:pPr>
                            <w:r w:rsidRPr="007E36E8">
                              <w:rPr>
                                <w:sz w:val="18"/>
                                <w:lang w:val="en-US"/>
                              </w:rPr>
                              <w:t xml:space="preserve">This exhibit is for </w:t>
                            </w:r>
                            <w:r>
                              <w:rPr>
                                <w:sz w:val="18"/>
                                <w:lang w:val="en-US"/>
                              </w:rPr>
                              <w:t>SRC</w:t>
                            </w:r>
                            <w:r w:rsidRPr="007E36E8">
                              <w:rPr>
                                <w:sz w:val="18"/>
                                <w:lang w:val="en-US"/>
                              </w:rPr>
                              <w:t xml:space="preserve"> </w:t>
                            </w:r>
                            <w:r w:rsidRPr="007E36E8">
                              <w:rPr>
                                <w:sz w:val="18"/>
                              </w:rPr>
                              <w:t>consultant provided PE</w:t>
                            </w:r>
                            <w:r w:rsidRPr="007E36E8">
                              <w:rPr>
                                <w:sz w:val="18"/>
                                <w:lang w:val="en-US"/>
                              </w:rPr>
                              <w:t xml:space="preserve"> services</w:t>
                            </w:r>
                            <w:r w:rsidRPr="007E36E8">
                              <w:rPr>
                                <w:sz w:val="18"/>
                              </w:rPr>
                              <w:t xml:space="preserve"> </w:t>
                            </w:r>
                            <w:r w:rsidRPr="007E36E8">
                              <w:rPr>
                                <w:sz w:val="18"/>
                                <w:lang w:val="en-US"/>
                              </w:rPr>
                              <w:t>on</w:t>
                            </w:r>
                            <w:r w:rsidRPr="007E36E8">
                              <w:rPr>
                                <w:sz w:val="18"/>
                              </w:rPr>
                              <w:t xml:space="preserve"> State</w:t>
                            </w:r>
                            <w:r w:rsidRPr="007E36E8">
                              <w:rPr>
                                <w:sz w:val="18"/>
                                <w:lang w:val="en-US"/>
                              </w:rPr>
                              <w:t xml:space="preserve"> projects</w:t>
                            </w:r>
                            <w:r w:rsidRPr="007E36E8">
                              <w:rPr>
                                <w:sz w:val="18"/>
                              </w:rPr>
                              <w:t xml:space="preserve"> </w:t>
                            </w:r>
                            <w:r w:rsidRPr="007E36E8">
                              <w:rPr>
                                <w:sz w:val="18"/>
                                <w:lang w:val="en-US"/>
                              </w:rPr>
                              <w:t>(to accompany</w:t>
                            </w:r>
                            <w:r w:rsidRPr="007E36E8">
                              <w:rPr>
                                <w:sz w:val="18"/>
                              </w:rPr>
                              <w:t xml:space="preserve"> T-AGRS-9 and State TO’s</w:t>
                            </w:r>
                            <w:r w:rsidRPr="007E36E8">
                              <w:rPr>
                                <w:sz w:val="18"/>
                                <w:lang w:val="en-US"/>
                              </w:rPr>
                              <w:t>)</w:t>
                            </w:r>
                            <w:r>
                              <w:rPr>
                                <w:sz w:val="18"/>
                                <w:lang w:val="en-US"/>
                              </w:rPr>
                              <w:t xml:space="preserve"> and CE services T-AGR-2c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43FA79" id="_x0000_t202" coordsize="21600,21600" o:spt="202" path="m,l,21600r21600,l21600,xe">
                <v:stroke joinstyle="miter"/>
                <v:path gradientshapeok="t" o:connecttype="rect"/>
              </v:shapetype>
              <v:shape id="Text Box 3" o:spid="_x0000_s1026" type="#_x0000_t202" style="position:absolute;left:0;text-align:left;margin-left:0;margin-top:-53.6pt;width:263.4pt;height:55.1pt;z-index:25166080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" fillcolor="yellow">
                <v:fill opacity="32896f"/>
                <v:textbox style="mso-fit-shape-to-text:t">
                  <w:txbxContent>
                    <w:p w14:paraId="2E7D62A7" w14:textId="77777777" w:rsidR="00013E3E" w:rsidRPr="00B0063A" w:rsidRDefault="00013E3E" w:rsidP="00013E3E">
                      <w:pPr>
                        <w:pStyle w:val="Header"/>
                        <w:tabs>
                          <w:tab w:val="clear" w:pos="9360"/>
                          <w:tab w:val="right" w:pos="9630"/>
                        </w:tabs>
                        <w:jc w:val="center"/>
                        <w:rPr>
                          <w:b/>
                          <w:lang w:val="en-US"/>
                        </w:rPr>
                      </w:pPr>
                      <w:r w:rsidRPr="00B0063A">
                        <w:rPr>
                          <w:b/>
                          <w:lang w:val="en-US"/>
                        </w:rPr>
                        <w:t>DELETE THIS BOX BEFORE SAVING</w:t>
                      </w:r>
                    </w:p>
                    <w:p w14:paraId="1B3E6FDF" w14:textId="77777777" w:rsidR="00013E3E" w:rsidRPr="007E36E8" w:rsidRDefault="00013E3E" w:rsidP="00013E3E">
                      <w:pPr>
                        <w:pStyle w:val="Header"/>
                        <w:tabs>
                          <w:tab w:val="clear" w:pos="9360"/>
                          <w:tab w:val="right" w:pos="9630"/>
                        </w:tabs>
                        <w:jc w:val="center"/>
                        <w:rPr>
                          <w:sz w:val="18"/>
                          <w:lang w:val="en-US"/>
                        </w:rPr>
                      </w:pPr>
                      <w:r w:rsidRPr="007E36E8">
                        <w:rPr>
                          <w:sz w:val="18"/>
                          <w:lang w:val="en-US"/>
                        </w:rPr>
                        <w:t xml:space="preserve">This exhibit is for </w:t>
                      </w:r>
                      <w:r>
                        <w:rPr>
                          <w:sz w:val="18"/>
                          <w:lang w:val="en-US"/>
                        </w:rPr>
                        <w:t>SRC</w:t>
                      </w:r>
                      <w:r w:rsidRPr="007E36E8">
                        <w:rPr>
                          <w:sz w:val="18"/>
                          <w:lang w:val="en-US"/>
                        </w:rPr>
                        <w:t xml:space="preserve"> </w:t>
                      </w:r>
                      <w:r w:rsidRPr="007E36E8">
                        <w:rPr>
                          <w:sz w:val="18"/>
                        </w:rPr>
                        <w:t>consultant provided PE</w:t>
                      </w:r>
                      <w:r w:rsidRPr="007E36E8">
                        <w:rPr>
                          <w:sz w:val="18"/>
                          <w:lang w:val="en-US"/>
                        </w:rPr>
                        <w:t xml:space="preserve"> services</w:t>
                      </w:r>
                      <w:r w:rsidRPr="007E36E8">
                        <w:rPr>
                          <w:sz w:val="18"/>
                        </w:rPr>
                        <w:t xml:space="preserve"> </w:t>
                      </w:r>
                      <w:r w:rsidRPr="007E36E8">
                        <w:rPr>
                          <w:sz w:val="18"/>
                          <w:lang w:val="en-US"/>
                        </w:rPr>
                        <w:t>on</w:t>
                      </w:r>
                      <w:r w:rsidRPr="007E36E8">
                        <w:rPr>
                          <w:sz w:val="18"/>
                        </w:rPr>
                        <w:t xml:space="preserve"> State</w:t>
                      </w:r>
                      <w:r w:rsidRPr="007E36E8">
                        <w:rPr>
                          <w:sz w:val="18"/>
                          <w:lang w:val="en-US"/>
                        </w:rPr>
                        <w:t xml:space="preserve"> projects</w:t>
                      </w:r>
                      <w:r w:rsidRPr="007E36E8">
                        <w:rPr>
                          <w:sz w:val="18"/>
                        </w:rPr>
                        <w:t xml:space="preserve"> </w:t>
                      </w:r>
                      <w:r w:rsidRPr="007E36E8">
                        <w:rPr>
                          <w:sz w:val="18"/>
                          <w:lang w:val="en-US"/>
                        </w:rPr>
                        <w:t>(to accompany</w:t>
                      </w:r>
                      <w:r w:rsidRPr="007E36E8">
                        <w:rPr>
                          <w:sz w:val="18"/>
                        </w:rPr>
                        <w:t xml:space="preserve"> T-AGRS-9 and State TO’s</w:t>
                      </w:r>
                      <w:r w:rsidRPr="007E36E8">
                        <w:rPr>
                          <w:sz w:val="18"/>
                          <w:lang w:val="en-US"/>
                        </w:rPr>
                        <w:t>)</w:t>
                      </w:r>
                      <w:r>
                        <w:rPr>
                          <w:sz w:val="18"/>
                          <w:lang w:val="en-US"/>
                        </w:rPr>
                        <w:t xml:space="preserve"> and CE services T-AGR-</w:t>
                      </w:r>
                      <w:proofErr w:type="gramStart"/>
                      <w:r>
                        <w:rPr>
                          <w:sz w:val="18"/>
                          <w:lang w:val="en-US"/>
                        </w:rPr>
                        <w:t>2c</w:t>
                      </w:r>
                      <w:proofErr w:type="gramEnd"/>
                    </w:p>
                  </w:txbxContent>
                </v:textbox>
                <w10:wrap anchorx="margin"/>
              </v:shape>
            </w:pict>
          </mc:Fallback>
        </mc:AlternateContent>
      </w:r>
      <w:r w:rsidR="00687101" w:rsidRPr="00900C27">
        <w:rPr>
          <w:noProof/>
          <w:sz w:val="18"/>
          <w:szCs w:val="22"/>
        </w:rPr>
        <w:drawing>
          <wp:anchor distT="0" distB="0" distL="114300" distR="114300" simplePos="0" relativeHeight="251657728" behindDoc="0" locked="0" layoutInCell="1" allowOverlap="1" wp14:anchorId="3F45F0B2" wp14:editId="42E2A34E">
            <wp:simplePos x="0" y="0"/>
            <wp:positionH relativeFrom="page">
              <wp:posOffset>828675</wp:posOffset>
            </wp:positionH>
            <wp:positionV relativeFrom="page">
              <wp:posOffset>419099</wp:posOffset>
            </wp:positionV>
            <wp:extent cx="1628775" cy="3636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OR_150x8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80111" cy="37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23B5F" w:rsidRPr="00900C27">
        <w:rPr>
          <w:noProof/>
          <w:sz w:val="18"/>
          <w:szCs w:val="22"/>
        </w:rPr>
        <mc:AlternateContent>
          <mc:Choice Requires="wps">
            <w:drawing>
              <wp:anchor distT="0" distB="0" distL="114300" distR="114300" simplePos="0" relativeHeight="251658752" behindDoc="0" locked="0" layoutInCell="1" allowOverlap="1" wp14:anchorId="346E1C13" wp14:editId="7F37CD0E">
                <wp:simplePos x="0" y="0"/>
                <wp:positionH relativeFrom="page">
                  <wp:posOffset>822960</wp:posOffset>
                </wp:positionH>
                <wp:positionV relativeFrom="page">
                  <wp:posOffset>868680</wp:posOffset>
                </wp:positionV>
                <wp:extent cx="6126480" cy="0"/>
                <wp:effectExtent l="13335" t="11430" r="1333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E8EB7" id="_x0000_t32" coordsize="21600,21600" o:spt="32" o:oned="t" path="m,l21600,21600e" filled="f">
                <v:path arrowok="t" fillok="f" o:connecttype="none"/>
                <o:lock v:ext="edit" shapetype="t"/>
              </v:shapetype>
              <v:shape id="AutoShape 5" o:spid="_x0000_s1026" type="#_x0000_t32" style="position:absolute;margin-left:64.8pt;margin-top:68.4pt;width:482.4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" strokeweight="1pt">
                <w10:wrap anchorx="page" anchory="page"/>
              </v:shape>
            </w:pict>
          </mc:Fallback>
        </mc:AlternateContent>
      </w:r>
      <w:r w:rsidR="00B500CD" w:rsidRPr="00900C27">
        <w:rPr>
          <w:i/>
          <w:sz w:val="18"/>
          <w:szCs w:val="22"/>
        </w:rPr>
        <w:t>Template T-</w:t>
      </w:r>
      <w:r w:rsidR="00A54708" w:rsidRPr="00900C27">
        <w:rPr>
          <w:i/>
          <w:sz w:val="18"/>
          <w:szCs w:val="22"/>
        </w:rPr>
        <w:t>EXH</w:t>
      </w:r>
      <w:r w:rsidR="00B500CD" w:rsidRPr="00900C27">
        <w:rPr>
          <w:i/>
          <w:sz w:val="18"/>
          <w:szCs w:val="22"/>
        </w:rPr>
        <w:t>-9</w:t>
      </w:r>
      <w:r w:rsidR="003B0FA3" w:rsidRPr="00900C27">
        <w:rPr>
          <w:i/>
          <w:sz w:val="18"/>
          <w:szCs w:val="22"/>
        </w:rPr>
        <w:t xml:space="preserve"> </w:t>
      </w:r>
      <w:r w:rsidR="007C46A1">
        <w:rPr>
          <w:i/>
          <w:sz w:val="18"/>
          <w:szCs w:val="18"/>
        </w:rPr>
        <w:t>SRC</w:t>
      </w:r>
      <w:r w:rsidR="00B500CD" w:rsidRPr="00900C27">
        <w:rPr>
          <w:i/>
          <w:sz w:val="18"/>
          <w:szCs w:val="22"/>
        </w:rPr>
        <w:t xml:space="preserve"> (rev </w:t>
      </w:r>
      <w:r w:rsidR="00C97720">
        <w:rPr>
          <w:i/>
          <w:sz w:val="18"/>
          <w:szCs w:val="22"/>
        </w:rPr>
        <w:t>11/20/2025</w:t>
      </w:r>
      <w:r w:rsidR="00B500CD" w:rsidRPr="00900C27">
        <w:rPr>
          <w:i/>
          <w:sz w:val="18"/>
          <w:szCs w:val="22"/>
        </w:rPr>
        <w:t>)</w:t>
      </w:r>
    </w:p>
    <w:bookmarkEnd w:id="0"/>
    <w:p w14:paraId="60438E9B" w14:textId="2337BB9A" w:rsidR="00B8506A" w:rsidRPr="00B23D37" w:rsidRDefault="00B8506A" w:rsidP="00103D3D">
      <w:pPr>
        <w:pStyle w:val="Heading1"/>
      </w:pPr>
      <w:r w:rsidRPr="00F6761B">
        <w:t>PAYMENT</w:t>
      </w:r>
      <w:r w:rsidRPr="00B23D37">
        <w:t xml:space="preserve"> METHOD</w:t>
      </w:r>
    </w:p>
    <w:p w14:paraId="6B599CD4" w14:textId="0D093A22" w:rsidR="006C0657" w:rsidRPr="00B23D37" w:rsidRDefault="006C0657" w:rsidP="00103D3D">
      <w:pPr>
        <w:widowControl w:val="0"/>
        <w:spacing w:line="360" w:lineRule="auto"/>
        <w:ind w:left="450"/>
        <w:rPr>
          <w:rFonts w:cs="Arial"/>
          <w:szCs w:val="22"/>
        </w:rPr>
      </w:pPr>
      <w:r w:rsidRPr="00B23D37">
        <w:rPr>
          <w:rFonts w:cs="Arial"/>
          <w:snapToGrid w:val="0"/>
          <w:szCs w:val="22"/>
        </w:rPr>
        <w:t>Payment</w:t>
      </w:r>
      <w:r w:rsidR="008C3115" w:rsidRPr="00B23D37">
        <w:rPr>
          <w:rFonts w:cs="Arial"/>
          <w:snapToGrid w:val="0"/>
          <w:szCs w:val="22"/>
        </w:rPr>
        <w:t>s</w:t>
      </w:r>
      <w:r w:rsidRPr="00B23D37">
        <w:rPr>
          <w:rFonts w:cs="Arial"/>
          <w:snapToGrid w:val="0"/>
          <w:szCs w:val="22"/>
        </w:rPr>
        <w:t xml:space="preserve"> under this Agreement will be made based on a </w:t>
      </w:r>
      <w:r w:rsidR="007C46A1">
        <w:rPr>
          <w:rFonts w:cs="Arial"/>
          <w:snapToGrid w:val="0"/>
          <w:szCs w:val="22"/>
        </w:rPr>
        <w:t>Specific Rates of Compensation</w:t>
      </w:r>
      <w:r w:rsidR="007C46A1" w:rsidRPr="00B0063A">
        <w:rPr>
          <w:rFonts w:cs="Arial"/>
          <w:snapToGrid w:val="0"/>
          <w:szCs w:val="22"/>
        </w:rPr>
        <w:t xml:space="preserve"> (</w:t>
      </w:r>
      <w:r w:rsidR="007C46A1">
        <w:rPr>
          <w:rFonts w:cs="Arial"/>
          <w:snapToGrid w:val="0"/>
          <w:szCs w:val="22"/>
        </w:rPr>
        <w:t>SRC</w:t>
      </w:r>
      <w:r w:rsidRPr="00B23D37">
        <w:rPr>
          <w:rFonts w:cs="Arial"/>
          <w:snapToGrid w:val="0"/>
          <w:szCs w:val="22"/>
        </w:rPr>
        <w:t>) payment method</w:t>
      </w:r>
      <w:r w:rsidR="007C46A1">
        <w:rPr>
          <w:rFonts w:cs="Arial"/>
          <w:snapToGrid w:val="0"/>
          <w:szCs w:val="22"/>
        </w:rPr>
        <w:t xml:space="preserve"> up to a maximum not-to-exceed amount</w:t>
      </w:r>
      <w:r w:rsidRPr="00B23D37">
        <w:rPr>
          <w:rFonts w:cs="Arial"/>
          <w:snapToGrid w:val="0"/>
          <w:szCs w:val="22"/>
        </w:rPr>
        <w:t xml:space="preserve">.  Consultant will be </w:t>
      </w:r>
      <w:r w:rsidR="002A50AA" w:rsidRPr="00B23D37">
        <w:rPr>
          <w:rFonts w:cs="Arial"/>
          <w:snapToGrid w:val="0"/>
          <w:szCs w:val="22"/>
        </w:rPr>
        <w:t>paid</w:t>
      </w:r>
      <w:r w:rsidRPr="00B23D37">
        <w:rPr>
          <w:rFonts w:cs="Arial"/>
          <w:snapToGrid w:val="0"/>
          <w:szCs w:val="22"/>
        </w:rPr>
        <w:t xml:space="preserve"> for </w:t>
      </w:r>
      <w:r w:rsidR="00714133" w:rsidRPr="00B23D37">
        <w:rPr>
          <w:rFonts w:cs="Arial"/>
          <w:snapToGrid w:val="0"/>
          <w:szCs w:val="22"/>
        </w:rPr>
        <w:t xml:space="preserve">acceptable </w:t>
      </w:r>
      <w:r w:rsidRPr="00B23D37">
        <w:rPr>
          <w:rFonts w:cs="Arial"/>
          <w:snapToGrid w:val="0"/>
          <w:szCs w:val="22"/>
        </w:rPr>
        <w:t xml:space="preserve">actual services performed </w:t>
      </w:r>
      <w:r w:rsidR="00477CE7" w:rsidRPr="00B23D37">
        <w:rPr>
          <w:rFonts w:cs="Arial"/>
          <w:snapToGrid w:val="0"/>
          <w:szCs w:val="22"/>
        </w:rPr>
        <w:t xml:space="preserve">in accordance with Section </w:t>
      </w:r>
      <w:r w:rsidR="00D747FC" w:rsidRPr="00B23D37">
        <w:rPr>
          <w:rFonts w:cs="Arial"/>
          <w:snapToGrid w:val="0"/>
          <w:szCs w:val="22"/>
        </w:rPr>
        <w:t>4</w:t>
      </w:r>
      <w:r w:rsidR="00477CE7" w:rsidRPr="00B23D37">
        <w:rPr>
          <w:rFonts w:cs="Arial"/>
          <w:snapToGrid w:val="0"/>
          <w:szCs w:val="22"/>
        </w:rPr>
        <w:t>. ALLOWABLE COSTS</w:t>
      </w:r>
      <w:r w:rsidR="006A1F88">
        <w:rPr>
          <w:rFonts w:cs="Arial"/>
          <w:snapToGrid w:val="0"/>
          <w:szCs w:val="22"/>
        </w:rPr>
        <w:t>.</w:t>
      </w:r>
      <w:r w:rsidR="00013E3E" w:rsidRPr="00013E3E">
        <w:rPr>
          <w:noProof/>
          <w:sz w:val="18"/>
          <w:szCs w:val="22"/>
        </w:rPr>
        <w:t xml:space="preserve"> </w:t>
      </w:r>
    </w:p>
    <w:p w14:paraId="67E2739D" w14:textId="475D1DC1" w:rsidR="006C0657" w:rsidRPr="00B23D37" w:rsidRDefault="00422E6D" w:rsidP="00103D3D">
      <w:pPr>
        <w:pStyle w:val="Heading1"/>
      </w:pPr>
      <w:r w:rsidRPr="00B23D37">
        <w:t xml:space="preserve">MAXIMUM </w:t>
      </w:r>
      <w:r w:rsidR="006C0657" w:rsidRPr="00B23D37">
        <w:t>AGREEMENT AMOUNT</w:t>
      </w:r>
      <w:r w:rsidR="00900DB9" w:rsidRPr="00B23D37">
        <w:t>S</w:t>
      </w:r>
      <w:r w:rsidR="006C0657" w:rsidRPr="00B23D37">
        <w:t xml:space="preserve"> </w:t>
      </w:r>
      <w:r w:rsidR="00B5159D">
        <w:tab/>
      </w:r>
    </w:p>
    <w:p w14:paraId="1EDA1451" w14:textId="558E28AD" w:rsidR="0021397E" w:rsidRPr="00B23D37" w:rsidRDefault="0014526A" w:rsidP="00103D3D">
      <w:pPr>
        <w:pStyle w:val="ListParagraph"/>
        <w:widowControl w:val="0"/>
        <w:spacing w:line="360" w:lineRule="auto"/>
        <w:ind w:left="450"/>
        <w:contextualSpacing w:val="0"/>
        <w:jc w:val="left"/>
        <w:rPr>
          <w:rFonts w:ascii="Arial" w:hAnsi="Arial" w:cs="Arial"/>
          <w:sz w:val="22"/>
          <w:szCs w:val="22"/>
        </w:rPr>
      </w:pPr>
      <w:r w:rsidRPr="00900C27">
        <w:rPr>
          <w:noProof/>
          <w:sz w:val="18"/>
          <w:szCs w:val="22"/>
        </w:rPr>
        <mc:AlternateContent>
          <mc:Choice Requires="wps">
            <w:drawing>
              <wp:anchor distT="0" distB="0" distL="114300" distR="114300" simplePos="0" relativeHeight="251662848" behindDoc="0" locked="0" layoutInCell="1" allowOverlap="1" wp14:anchorId="628A8C67" wp14:editId="65518848">
                <wp:simplePos x="0" y="0"/>
                <wp:positionH relativeFrom="margin">
                  <wp:posOffset>3740260</wp:posOffset>
                </wp:positionH>
                <wp:positionV relativeFrom="paragraph">
                  <wp:posOffset>831546</wp:posOffset>
                </wp:positionV>
                <wp:extent cx="2711395" cy="834887"/>
                <wp:effectExtent l="0" t="0" r="1333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395" cy="834887"/>
                        </a:xfrm>
                        <a:prstGeom prst="rect">
                          <a:avLst/>
                        </a:prstGeom>
                        <a:solidFill>
                          <a:srgbClr val="FFFF00">
                            <a:alpha val="50000"/>
                          </a:srgbClr>
                        </a:solidFill>
                        <a:ln w="9525">
                          <a:solidFill>
                            <a:srgbClr val="000000"/>
                          </a:solidFill>
                          <a:miter lim="800000"/>
                          <a:headEnd/>
                          <a:tailEnd/>
                        </a:ln>
                      </wps:spPr>
                      <wps:txbx>
                        <w:txbxContent>
                          <w:p w14:paraId="44EFC859" w14:textId="77777777" w:rsidR="0014526A" w:rsidRPr="00B0063A" w:rsidRDefault="0014526A" w:rsidP="0014526A">
                            <w:pPr>
                              <w:pStyle w:val="Header"/>
                              <w:tabs>
                                <w:tab w:val="clear" w:pos="9360"/>
                                <w:tab w:val="right" w:pos="9630"/>
                              </w:tabs>
                              <w:jc w:val="center"/>
                              <w:rPr>
                                <w:b/>
                                <w:lang w:val="en-US"/>
                              </w:rPr>
                            </w:pPr>
                            <w:r w:rsidRPr="00B0063A">
                              <w:rPr>
                                <w:b/>
                                <w:lang w:val="en-US"/>
                              </w:rPr>
                              <w:t>DELETE THIS BOX BEFORE SAVING</w:t>
                            </w:r>
                          </w:p>
                          <w:p w14:paraId="3DE5E6EF" w14:textId="2CBDFCA7" w:rsidR="0014526A" w:rsidRDefault="0014526A" w:rsidP="0014526A">
                            <w:pPr>
                              <w:pStyle w:val="Header"/>
                              <w:tabs>
                                <w:tab w:val="clear" w:pos="9360"/>
                                <w:tab w:val="right" w:pos="9630"/>
                              </w:tabs>
                              <w:jc w:val="center"/>
                              <w:rPr>
                                <w:sz w:val="18"/>
                                <w:lang w:val="en-US"/>
                              </w:rPr>
                            </w:pPr>
                            <w:r>
                              <w:rPr>
                                <w:sz w:val="18"/>
                                <w:lang w:val="en-US"/>
                              </w:rPr>
                              <w:t>Once you have entered the new amounts into rows A. &amp; B., select the amount in row C. then press F9 to update the total agreement amount by adding rows A. &amp;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A8C67" id="Text Box 2" o:spid="_x0000_s1027" type="#_x0000_t202" style="position:absolute;left:0;text-align:left;margin-left:294.5pt;margin-top:65.5pt;width:213.5pt;height:65.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" fillcolor="yellow">
                <v:fill opacity="32896f"/>
                <v:textbox>
                  <w:txbxContent>
                    <w:p w14:paraId="44EFC859" w14:textId="77777777" w:rsidR="0014526A" w:rsidRPr="00B0063A" w:rsidRDefault="0014526A" w:rsidP="0014526A">
                      <w:pPr>
                        <w:pStyle w:val="Header"/>
                        <w:tabs>
                          <w:tab w:val="clear" w:pos="9360"/>
                          <w:tab w:val="right" w:pos="9630"/>
                        </w:tabs>
                        <w:jc w:val="center"/>
                        <w:rPr>
                          <w:b/>
                          <w:lang w:val="en-US"/>
                        </w:rPr>
                      </w:pPr>
                      <w:r w:rsidRPr="00B0063A">
                        <w:rPr>
                          <w:b/>
                          <w:lang w:val="en-US"/>
                        </w:rPr>
                        <w:t>DELETE THIS BOX BEFORE SAVING</w:t>
                      </w:r>
                    </w:p>
                    <w:p w14:paraId="3DE5E6EF" w14:textId="2CBDFCA7" w:rsidR="0014526A" w:rsidRDefault="0014526A" w:rsidP="0014526A">
                      <w:pPr>
                        <w:pStyle w:val="Header"/>
                        <w:tabs>
                          <w:tab w:val="clear" w:pos="9360"/>
                          <w:tab w:val="right" w:pos="9630"/>
                        </w:tabs>
                        <w:jc w:val="center"/>
                        <w:rPr>
                          <w:sz w:val="18"/>
                          <w:lang w:val="en-US"/>
                        </w:rPr>
                      </w:pPr>
                      <w:r>
                        <w:rPr>
                          <w:sz w:val="18"/>
                          <w:lang w:val="en-US"/>
                        </w:rPr>
                        <w:t>Once you have entered the new amounts into rows A. &amp; B., select the amount in row C. then press F9 to update the total agreement amount by adding rows A. &amp; B.</w:t>
                      </w:r>
                    </w:p>
                  </w:txbxContent>
                </v:textbox>
                <w10:wrap anchorx="margin"/>
              </v:shape>
            </w:pict>
          </mc:Fallback>
        </mc:AlternateContent>
      </w:r>
      <w:r w:rsidR="0021397E" w:rsidRPr="00B23D37">
        <w:rPr>
          <w:rFonts w:ascii="Arial" w:hAnsi="Arial" w:cs="Arial"/>
          <w:sz w:val="22"/>
          <w:szCs w:val="22"/>
        </w:rPr>
        <w:t xml:space="preserve">The following are the maximum </w:t>
      </w:r>
      <w:r>
        <w:rPr>
          <w:rFonts w:ascii="Arial" w:hAnsi="Arial" w:cs="Arial"/>
          <w:sz w:val="22"/>
          <w:szCs w:val="22"/>
        </w:rPr>
        <w:t xml:space="preserve">payment </w:t>
      </w:r>
      <w:r w:rsidR="0021397E" w:rsidRPr="00B23D37">
        <w:rPr>
          <w:rFonts w:ascii="Arial" w:hAnsi="Arial" w:cs="Arial"/>
          <w:sz w:val="22"/>
          <w:szCs w:val="22"/>
        </w:rPr>
        <w:t xml:space="preserve">amounts established </w:t>
      </w:r>
      <w:r>
        <w:rPr>
          <w:rFonts w:ascii="Arial" w:hAnsi="Arial" w:cs="Arial"/>
          <w:sz w:val="22"/>
          <w:szCs w:val="22"/>
        </w:rPr>
        <w:t>under</w:t>
      </w:r>
      <w:r w:rsidR="0021397E" w:rsidRPr="00B23D37">
        <w:rPr>
          <w:rFonts w:ascii="Arial" w:hAnsi="Arial" w:cs="Arial"/>
          <w:sz w:val="22"/>
          <w:szCs w:val="22"/>
        </w:rPr>
        <w:t xml:space="preserve"> this Agreement for each category of cost.</w:t>
      </w:r>
      <w:r w:rsidR="0021397E">
        <w:rPr>
          <w:rFonts w:ascii="Arial" w:hAnsi="Arial" w:cs="Arial"/>
          <w:sz w:val="22"/>
          <w:szCs w:val="22"/>
        </w:rPr>
        <w:t xml:space="preserve">  </w:t>
      </w:r>
      <w:r w:rsidR="0021397E" w:rsidRPr="00B23D37">
        <w:rPr>
          <w:rFonts w:ascii="Arial" w:hAnsi="Arial" w:cs="Arial"/>
          <w:sz w:val="22"/>
          <w:szCs w:val="22"/>
        </w:rPr>
        <w:t xml:space="preserve">Consultant shall not </w:t>
      </w:r>
      <w:r w:rsidR="00604488" w:rsidRPr="00B23D37">
        <w:rPr>
          <w:rFonts w:ascii="Arial" w:hAnsi="Arial" w:cs="Arial"/>
          <w:sz w:val="22"/>
          <w:szCs w:val="22"/>
        </w:rPr>
        <w:t xml:space="preserve">be paid for any cost that </w:t>
      </w:r>
      <w:r w:rsidR="0021397E" w:rsidRPr="00B23D37">
        <w:rPr>
          <w:rFonts w:ascii="Arial" w:hAnsi="Arial" w:cs="Arial"/>
          <w:sz w:val="22"/>
          <w:szCs w:val="22"/>
        </w:rPr>
        <w:t>exceed</w:t>
      </w:r>
      <w:r w:rsidR="00604488" w:rsidRPr="00B23D37">
        <w:rPr>
          <w:rFonts w:ascii="Arial" w:hAnsi="Arial" w:cs="Arial"/>
          <w:sz w:val="22"/>
          <w:szCs w:val="22"/>
        </w:rPr>
        <w:t>s</w:t>
      </w:r>
      <w:r w:rsidR="0021397E" w:rsidRPr="00B23D37">
        <w:rPr>
          <w:rFonts w:ascii="Arial" w:hAnsi="Arial" w:cs="Arial"/>
          <w:sz w:val="22"/>
          <w:szCs w:val="22"/>
        </w:rPr>
        <w:t xml:space="preserve"> these amounts without prior written approval </w:t>
      </w:r>
      <w:r w:rsidR="00335914" w:rsidRPr="00B23D37">
        <w:rPr>
          <w:rFonts w:ascii="Arial" w:hAnsi="Arial" w:cs="Arial"/>
          <w:sz w:val="22"/>
          <w:szCs w:val="22"/>
        </w:rPr>
        <w:t>from</w:t>
      </w:r>
      <w:r w:rsidR="0021397E" w:rsidRPr="00B23D37">
        <w:rPr>
          <w:rFonts w:ascii="Arial" w:hAnsi="Arial" w:cs="Arial"/>
          <w:sz w:val="22"/>
          <w:szCs w:val="22"/>
        </w:rPr>
        <w:t xml:space="preserve"> State.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6"/>
        <w:gridCol w:w="270"/>
        <w:gridCol w:w="270"/>
        <w:gridCol w:w="1530"/>
        <w:gridCol w:w="4680"/>
      </w:tblGrid>
      <w:tr w:rsidR="0014526A" w14:paraId="10BB69A3" w14:textId="77777777" w:rsidTr="0014526A">
        <w:trPr>
          <w:trHeight w:hRule="exact" w:val="360"/>
        </w:trPr>
        <w:tc>
          <w:tcPr>
            <w:tcW w:w="246" w:type="dxa"/>
          </w:tcPr>
          <w:p w14:paraId="5CD10D20" w14:textId="77777777" w:rsidR="0014526A" w:rsidRPr="00B23D37" w:rsidRDefault="0014526A" w:rsidP="004D0BDF">
            <w:pPr>
              <w:pStyle w:val="ListParagraph"/>
              <w:ind w:left="0"/>
              <w:contextualSpacing w:val="0"/>
              <w:jc w:val="left"/>
              <w:rPr>
                <w:rFonts w:ascii="Arial" w:hAnsi="Arial" w:cs="Arial"/>
                <w:sz w:val="22"/>
                <w:szCs w:val="22"/>
              </w:rPr>
            </w:pPr>
          </w:p>
        </w:tc>
        <w:tc>
          <w:tcPr>
            <w:tcW w:w="270" w:type="dxa"/>
          </w:tcPr>
          <w:p w14:paraId="5AF17C82" w14:textId="77777777" w:rsidR="0014526A" w:rsidRPr="00B23D37" w:rsidRDefault="0014526A" w:rsidP="004D0BDF">
            <w:pPr>
              <w:pStyle w:val="ListParagraph"/>
              <w:ind w:left="0"/>
              <w:contextualSpacing w:val="0"/>
              <w:jc w:val="left"/>
              <w:rPr>
                <w:rFonts w:ascii="Arial" w:hAnsi="Arial" w:cs="Arial"/>
                <w:sz w:val="22"/>
                <w:szCs w:val="22"/>
              </w:rPr>
            </w:pPr>
          </w:p>
        </w:tc>
        <w:tc>
          <w:tcPr>
            <w:tcW w:w="270" w:type="dxa"/>
          </w:tcPr>
          <w:p w14:paraId="7D42790A" w14:textId="77777777" w:rsidR="0014526A" w:rsidRPr="00B23D37" w:rsidRDefault="0014526A" w:rsidP="004D0BDF">
            <w:pPr>
              <w:pStyle w:val="ListParagraph"/>
              <w:ind w:left="0"/>
              <w:contextualSpacing w:val="0"/>
              <w:jc w:val="left"/>
              <w:rPr>
                <w:rFonts w:ascii="Arial" w:hAnsi="Arial" w:cs="Arial"/>
                <w:sz w:val="22"/>
                <w:szCs w:val="22"/>
              </w:rPr>
            </w:pPr>
          </w:p>
        </w:tc>
        <w:tc>
          <w:tcPr>
            <w:tcW w:w="1530" w:type="dxa"/>
            <w:vAlign w:val="bottom"/>
          </w:tcPr>
          <w:p w14:paraId="7A2A7176" w14:textId="77777777" w:rsidR="0014526A" w:rsidRDefault="0014526A" w:rsidP="004D0BDF">
            <w:pPr>
              <w:pStyle w:val="ListParagraph"/>
              <w:ind w:left="0"/>
              <w:contextualSpacing w:val="0"/>
              <w:jc w:val="left"/>
              <w:rPr>
                <w:rFonts w:ascii="Arial" w:hAnsi="Arial" w:cs="Arial"/>
                <w:sz w:val="22"/>
                <w:szCs w:val="22"/>
              </w:rPr>
            </w:pPr>
            <w:r w:rsidRPr="00B23D37">
              <w:rPr>
                <w:rFonts w:ascii="Arial" w:hAnsi="Arial" w:cs="Arial"/>
                <w:sz w:val="22"/>
                <w:szCs w:val="22"/>
              </w:rPr>
              <w:t>AMOUNT</w:t>
            </w:r>
          </w:p>
        </w:tc>
        <w:tc>
          <w:tcPr>
            <w:tcW w:w="4680" w:type="dxa"/>
            <w:vAlign w:val="bottom"/>
          </w:tcPr>
          <w:p w14:paraId="494FAD62" w14:textId="77777777" w:rsidR="0014526A" w:rsidRDefault="0014526A" w:rsidP="004D0BDF">
            <w:pPr>
              <w:pStyle w:val="ListParagraph"/>
              <w:ind w:left="0" w:firstLine="540"/>
              <w:contextualSpacing w:val="0"/>
              <w:jc w:val="left"/>
              <w:rPr>
                <w:rFonts w:ascii="Arial" w:hAnsi="Arial" w:cs="Arial"/>
                <w:sz w:val="22"/>
                <w:szCs w:val="22"/>
              </w:rPr>
            </w:pPr>
            <w:r w:rsidRPr="00B23D37">
              <w:rPr>
                <w:rFonts w:ascii="Arial" w:hAnsi="Arial" w:cs="Arial"/>
                <w:sz w:val="22"/>
                <w:szCs w:val="22"/>
              </w:rPr>
              <w:t>CATEGORY</w:t>
            </w:r>
          </w:p>
        </w:tc>
      </w:tr>
      <w:tr w:rsidR="0014526A" w14:paraId="4EADCD61" w14:textId="77777777" w:rsidTr="0014526A">
        <w:trPr>
          <w:trHeight w:hRule="exact" w:val="360"/>
        </w:trPr>
        <w:tc>
          <w:tcPr>
            <w:tcW w:w="246" w:type="dxa"/>
            <w:vAlign w:val="bottom"/>
          </w:tcPr>
          <w:p w14:paraId="00D04E50" w14:textId="77777777" w:rsidR="0014526A" w:rsidRDefault="0014526A" w:rsidP="004D0BDF">
            <w:pPr>
              <w:pStyle w:val="ListParagraph"/>
              <w:ind w:left="-206"/>
              <w:contextualSpacing w:val="0"/>
              <w:jc w:val="right"/>
              <w:rPr>
                <w:rFonts w:ascii="Arial" w:hAnsi="Arial" w:cs="Arial"/>
                <w:sz w:val="22"/>
                <w:szCs w:val="22"/>
              </w:rPr>
            </w:pPr>
            <w:r>
              <w:rPr>
                <w:rFonts w:ascii="Arial" w:hAnsi="Arial" w:cs="Arial"/>
                <w:sz w:val="22"/>
                <w:szCs w:val="22"/>
              </w:rPr>
              <w:t>A.</w:t>
            </w:r>
          </w:p>
        </w:tc>
        <w:tc>
          <w:tcPr>
            <w:tcW w:w="270" w:type="dxa"/>
          </w:tcPr>
          <w:p w14:paraId="5258FA19" w14:textId="77777777" w:rsidR="0014526A" w:rsidRDefault="0014526A" w:rsidP="004D0BDF">
            <w:pPr>
              <w:pStyle w:val="ListParagraph"/>
              <w:ind w:left="0"/>
              <w:contextualSpacing w:val="0"/>
              <w:jc w:val="right"/>
              <w:rPr>
                <w:rFonts w:ascii="Arial" w:hAnsi="Arial" w:cs="Arial"/>
                <w:sz w:val="22"/>
                <w:szCs w:val="22"/>
              </w:rPr>
            </w:pPr>
          </w:p>
        </w:tc>
        <w:tc>
          <w:tcPr>
            <w:tcW w:w="270" w:type="dxa"/>
            <w:noWrap/>
            <w:vAlign w:val="bottom"/>
          </w:tcPr>
          <w:p w14:paraId="3A7F8346" w14:textId="77777777" w:rsidR="0014526A" w:rsidRDefault="0014526A" w:rsidP="004D0BDF">
            <w:pPr>
              <w:pStyle w:val="ListParagraph"/>
              <w:ind w:left="0"/>
              <w:contextualSpacing w:val="0"/>
              <w:jc w:val="right"/>
              <w:rPr>
                <w:rFonts w:ascii="Arial" w:hAnsi="Arial" w:cs="Arial"/>
                <w:sz w:val="22"/>
                <w:szCs w:val="22"/>
              </w:rPr>
            </w:pPr>
            <w:r>
              <w:rPr>
                <w:rFonts w:ascii="Arial" w:hAnsi="Arial" w:cs="Arial"/>
                <w:sz w:val="22"/>
                <w:szCs w:val="22"/>
              </w:rPr>
              <w:t>$</w:t>
            </w:r>
          </w:p>
        </w:tc>
        <w:tc>
          <w:tcPr>
            <w:tcW w:w="1530" w:type="dxa"/>
            <w:vAlign w:val="bottom"/>
          </w:tcPr>
          <w:p w14:paraId="48DBF2D7" w14:textId="77777777" w:rsidR="0014526A" w:rsidRPr="00C976B8" w:rsidRDefault="0014526A" w:rsidP="004D0BDF">
            <w:pPr>
              <w:pStyle w:val="ListParagraph"/>
              <w:ind w:left="0" w:right="90"/>
              <w:contextualSpacing w:val="0"/>
              <w:jc w:val="right"/>
              <w:rPr>
                <w:rFonts w:ascii="Arial" w:hAnsi="Arial" w:cs="Arial"/>
                <w:sz w:val="22"/>
                <w:szCs w:val="22"/>
                <w:highlight w:val="yellow"/>
              </w:rPr>
            </w:pPr>
            <w:r>
              <w:rPr>
                <w:rFonts w:ascii="Arial" w:hAnsi="Arial" w:cs="Arial"/>
                <w:sz w:val="22"/>
                <w:szCs w:val="22"/>
                <w:highlight w:val="yellow"/>
              </w:rPr>
              <w:t>9,990</w:t>
            </w:r>
            <w:r w:rsidRPr="00C976B8">
              <w:rPr>
                <w:rFonts w:ascii="Arial" w:hAnsi="Arial" w:cs="Arial"/>
                <w:sz w:val="22"/>
                <w:szCs w:val="22"/>
                <w:highlight w:val="yellow"/>
              </w:rPr>
              <w:t>,000.00</w:t>
            </w:r>
          </w:p>
        </w:tc>
        <w:tc>
          <w:tcPr>
            <w:tcW w:w="4680" w:type="dxa"/>
            <w:vAlign w:val="bottom"/>
          </w:tcPr>
          <w:p w14:paraId="38FFF6DA" w14:textId="77777777" w:rsidR="0014526A" w:rsidRDefault="0014526A" w:rsidP="004D0BDF">
            <w:pPr>
              <w:pStyle w:val="ListParagraph"/>
              <w:ind w:left="180"/>
              <w:contextualSpacing w:val="0"/>
              <w:jc w:val="left"/>
              <w:rPr>
                <w:rFonts w:ascii="Arial" w:hAnsi="Arial" w:cs="Arial"/>
                <w:sz w:val="22"/>
                <w:szCs w:val="22"/>
              </w:rPr>
            </w:pPr>
            <w:r w:rsidRPr="00B23D37">
              <w:rPr>
                <w:rFonts w:ascii="Arial" w:hAnsi="Arial" w:cs="Arial"/>
                <w:sz w:val="22"/>
                <w:szCs w:val="22"/>
              </w:rPr>
              <w:t>for actual direct labor costs</w:t>
            </w:r>
          </w:p>
        </w:tc>
      </w:tr>
      <w:tr w:rsidR="0014526A" w14:paraId="5085977C" w14:textId="77777777" w:rsidTr="0014526A">
        <w:trPr>
          <w:trHeight w:hRule="exact" w:val="360"/>
        </w:trPr>
        <w:tc>
          <w:tcPr>
            <w:tcW w:w="246" w:type="dxa"/>
            <w:vAlign w:val="bottom"/>
          </w:tcPr>
          <w:p w14:paraId="7CACE750" w14:textId="77777777" w:rsidR="0014526A" w:rsidRDefault="0014526A" w:rsidP="004D0BDF">
            <w:pPr>
              <w:pStyle w:val="ListParagraph"/>
              <w:ind w:left="0"/>
              <w:contextualSpacing w:val="0"/>
              <w:jc w:val="right"/>
              <w:rPr>
                <w:rFonts w:ascii="Arial" w:hAnsi="Arial" w:cs="Arial"/>
                <w:sz w:val="22"/>
                <w:szCs w:val="22"/>
              </w:rPr>
            </w:pPr>
            <w:r>
              <w:rPr>
                <w:rFonts w:ascii="Arial" w:hAnsi="Arial" w:cs="Arial"/>
                <w:sz w:val="22"/>
                <w:szCs w:val="22"/>
              </w:rPr>
              <w:t>B.</w:t>
            </w:r>
          </w:p>
        </w:tc>
        <w:tc>
          <w:tcPr>
            <w:tcW w:w="270" w:type="dxa"/>
          </w:tcPr>
          <w:p w14:paraId="1032E98B" w14:textId="77777777" w:rsidR="0014526A" w:rsidRDefault="0014526A" w:rsidP="004D0BDF">
            <w:pPr>
              <w:pStyle w:val="ListParagraph"/>
              <w:ind w:left="0"/>
              <w:contextualSpacing w:val="0"/>
              <w:jc w:val="right"/>
              <w:rPr>
                <w:rFonts w:ascii="Arial" w:hAnsi="Arial" w:cs="Arial"/>
                <w:sz w:val="22"/>
                <w:szCs w:val="22"/>
              </w:rPr>
            </w:pPr>
          </w:p>
        </w:tc>
        <w:tc>
          <w:tcPr>
            <w:tcW w:w="270" w:type="dxa"/>
            <w:noWrap/>
            <w:vAlign w:val="bottom"/>
          </w:tcPr>
          <w:p w14:paraId="0C36282E" w14:textId="77777777" w:rsidR="0014526A" w:rsidRDefault="0014526A" w:rsidP="004D0BDF">
            <w:pPr>
              <w:pStyle w:val="ListParagraph"/>
              <w:ind w:left="0"/>
              <w:contextualSpacing w:val="0"/>
              <w:jc w:val="right"/>
              <w:rPr>
                <w:rFonts w:ascii="Arial" w:hAnsi="Arial" w:cs="Arial"/>
                <w:sz w:val="22"/>
                <w:szCs w:val="22"/>
              </w:rPr>
            </w:pPr>
            <w:r>
              <w:rPr>
                <w:rFonts w:ascii="Arial" w:hAnsi="Arial" w:cs="Arial"/>
                <w:sz w:val="22"/>
                <w:szCs w:val="22"/>
              </w:rPr>
              <w:t>$</w:t>
            </w:r>
          </w:p>
        </w:tc>
        <w:tc>
          <w:tcPr>
            <w:tcW w:w="1530" w:type="dxa"/>
            <w:tcBorders>
              <w:bottom w:val="single" w:sz="4" w:space="0" w:color="auto"/>
            </w:tcBorders>
            <w:vAlign w:val="bottom"/>
          </w:tcPr>
          <w:p w14:paraId="14B02669" w14:textId="77777777" w:rsidR="0014526A" w:rsidRPr="00C976B8" w:rsidRDefault="0014526A" w:rsidP="004D0BDF">
            <w:pPr>
              <w:pStyle w:val="ListParagraph"/>
              <w:ind w:left="0" w:right="90"/>
              <w:contextualSpacing w:val="0"/>
              <w:jc w:val="right"/>
              <w:rPr>
                <w:rFonts w:ascii="Arial" w:hAnsi="Arial" w:cs="Arial"/>
                <w:sz w:val="22"/>
                <w:szCs w:val="22"/>
                <w:highlight w:val="yellow"/>
              </w:rPr>
            </w:pPr>
            <w:r>
              <w:rPr>
                <w:rFonts w:ascii="Arial" w:hAnsi="Arial" w:cs="Arial"/>
                <w:sz w:val="22"/>
                <w:szCs w:val="22"/>
                <w:highlight w:val="yellow"/>
              </w:rPr>
              <w:t>1</w:t>
            </w:r>
            <w:r w:rsidRPr="00C976B8">
              <w:rPr>
                <w:rFonts w:ascii="Arial" w:hAnsi="Arial" w:cs="Arial"/>
                <w:sz w:val="22"/>
                <w:szCs w:val="22"/>
                <w:highlight w:val="yellow"/>
              </w:rPr>
              <w:t>,000.00</w:t>
            </w:r>
          </w:p>
        </w:tc>
        <w:tc>
          <w:tcPr>
            <w:tcW w:w="4680" w:type="dxa"/>
            <w:vAlign w:val="bottom"/>
          </w:tcPr>
          <w:p w14:paraId="44BE3860" w14:textId="6460F86B" w:rsidR="0014526A" w:rsidRDefault="0014526A" w:rsidP="004D0BDF">
            <w:pPr>
              <w:pStyle w:val="ListParagraph"/>
              <w:ind w:left="180"/>
              <w:contextualSpacing w:val="0"/>
              <w:jc w:val="left"/>
              <w:rPr>
                <w:rFonts w:ascii="Arial" w:hAnsi="Arial" w:cs="Arial"/>
                <w:sz w:val="22"/>
                <w:szCs w:val="22"/>
              </w:rPr>
            </w:pPr>
            <w:r w:rsidRPr="00B23D37">
              <w:rPr>
                <w:rFonts w:ascii="Arial" w:hAnsi="Arial" w:cs="Arial"/>
                <w:sz w:val="22"/>
                <w:szCs w:val="22"/>
              </w:rPr>
              <w:t xml:space="preserve">for direct </w:t>
            </w:r>
            <w:r w:rsidR="002A2EBE">
              <w:rPr>
                <w:rFonts w:ascii="Arial" w:hAnsi="Arial" w:cs="Arial"/>
                <w:sz w:val="22"/>
                <w:szCs w:val="22"/>
              </w:rPr>
              <w:t xml:space="preserve">expenses (direct </w:t>
            </w:r>
            <w:r w:rsidR="00207E48">
              <w:rPr>
                <w:rFonts w:ascii="Arial" w:hAnsi="Arial" w:cs="Arial"/>
                <w:sz w:val="22"/>
                <w:szCs w:val="22"/>
              </w:rPr>
              <w:t>non-labor costs)</w:t>
            </w:r>
          </w:p>
        </w:tc>
      </w:tr>
      <w:tr w:rsidR="0014526A" w14:paraId="4F569804" w14:textId="77777777" w:rsidTr="0014526A">
        <w:trPr>
          <w:trHeight w:hRule="exact" w:val="360"/>
        </w:trPr>
        <w:tc>
          <w:tcPr>
            <w:tcW w:w="246" w:type="dxa"/>
            <w:vAlign w:val="bottom"/>
          </w:tcPr>
          <w:p w14:paraId="318DD793" w14:textId="007A8687" w:rsidR="0014526A" w:rsidRPr="005D4B23" w:rsidRDefault="0014526A" w:rsidP="004D0BDF">
            <w:pPr>
              <w:pStyle w:val="ListParagraph"/>
              <w:ind w:left="0"/>
              <w:contextualSpacing w:val="0"/>
              <w:jc w:val="right"/>
              <w:rPr>
                <w:rFonts w:ascii="Arial" w:hAnsi="Arial" w:cs="Arial"/>
                <w:sz w:val="22"/>
                <w:szCs w:val="22"/>
              </w:rPr>
            </w:pPr>
            <w:r>
              <w:rPr>
                <w:rFonts w:ascii="Arial" w:hAnsi="Arial" w:cs="Arial"/>
                <w:sz w:val="22"/>
                <w:szCs w:val="22"/>
              </w:rPr>
              <w:t>C</w:t>
            </w:r>
            <w:r w:rsidRPr="005D4B23">
              <w:rPr>
                <w:rFonts w:ascii="Arial" w:hAnsi="Arial" w:cs="Arial"/>
                <w:sz w:val="22"/>
                <w:szCs w:val="22"/>
              </w:rPr>
              <w:t>.</w:t>
            </w:r>
          </w:p>
        </w:tc>
        <w:tc>
          <w:tcPr>
            <w:tcW w:w="270" w:type="dxa"/>
          </w:tcPr>
          <w:p w14:paraId="2993EA1C" w14:textId="77777777" w:rsidR="0014526A" w:rsidRPr="004E60DA" w:rsidRDefault="0014526A" w:rsidP="004D0BDF">
            <w:pPr>
              <w:pStyle w:val="ListParagraph"/>
              <w:ind w:left="0"/>
              <w:contextualSpacing w:val="0"/>
              <w:jc w:val="right"/>
              <w:rPr>
                <w:rFonts w:ascii="Arial" w:hAnsi="Arial" w:cs="Arial"/>
                <w:b/>
                <w:bCs/>
                <w:sz w:val="22"/>
                <w:szCs w:val="22"/>
              </w:rPr>
            </w:pPr>
          </w:p>
        </w:tc>
        <w:tc>
          <w:tcPr>
            <w:tcW w:w="270" w:type="dxa"/>
            <w:noWrap/>
            <w:vAlign w:val="bottom"/>
          </w:tcPr>
          <w:p w14:paraId="2A89077E" w14:textId="77777777" w:rsidR="0014526A" w:rsidRPr="004E60DA" w:rsidRDefault="0014526A" w:rsidP="004D0BDF">
            <w:pPr>
              <w:pStyle w:val="ListParagraph"/>
              <w:ind w:left="0"/>
              <w:contextualSpacing w:val="0"/>
              <w:jc w:val="right"/>
              <w:rPr>
                <w:rFonts w:ascii="Arial" w:hAnsi="Arial" w:cs="Arial"/>
                <w:b/>
                <w:bCs/>
                <w:sz w:val="22"/>
                <w:szCs w:val="22"/>
              </w:rPr>
            </w:pPr>
            <w:r w:rsidRPr="004E60DA">
              <w:rPr>
                <w:rFonts w:ascii="Arial" w:hAnsi="Arial" w:cs="Arial"/>
                <w:b/>
                <w:bCs/>
                <w:sz w:val="22"/>
                <w:szCs w:val="22"/>
              </w:rPr>
              <w:t>$</w:t>
            </w:r>
          </w:p>
        </w:tc>
        <w:tc>
          <w:tcPr>
            <w:tcW w:w="1530" w:type="dxa"/>
            <w:tcBorders>
              <w:top w:val="single" w:sz="4" w:space="0" w:color="auto"/>
            </w:tcBorders>
            <w:vAlign w:val="bottom"/>
          </w:tcPr>
          <w:p w14:paraId="65F14603" w14:textId="32AD5982" w:rsidR="0014526A" w:rsidRPr="004E60DA" w:rsidRDefault="0014526A" w:rsidP="004D0BDF">
            <w:pPr>
              <w:pStyle w:val="ListParagraph"/>
              <w:ind w:left="0" w:right="90"/>
              <w:contextualSpacing w:val="0"/>
              <w:jc w:val="right"/>
              <w:rPr>
                <w:rFonts w:ascii="Arial" w:hAnsi="Arial" w:cs="Arial"/>
                <w:b/>
                <w:bCs/>
                <w:sz w:val="22"/>
                <w:szCs w:val="22"/>
              </w:rPr>
            </w:pPr>
            <w:r w:rsidRPr="004E60DA">
              <w:rPr>
                <w:rFonts w:ascii="Arial" w:hAnsi="Arial" w:cs="Arial"/>
                <w:b/>
                <w:bCs/>
                <w:sz w:val="22"/>
                <w:szCs w:val="22"/>
              </w:rPr>
              <w:fldChar w:fldCharType="begin"/>
            </w:r>
            <w:r w:rsidRPr="004E60DA">
              <w:rPr>
                <w:rFonts w:ascii="Arial" w:hAnsi="Arial" w:cs="Arial"/>
                <w:b/>
                <w:bCs/>
                <w:sz w:val="22"/>
                <w:szCs w:val="22"/>
              </w:rPr>
              <w:instrText xml:space="preserve"> =SUM(ABOVE) \# "#,##0.00;(#,##0.00)" </w:instrText>
            </w:r>
            <w:r w:rsidRPr="004E60DA">
              <w:rPr>
                <w:rFonts w:ascii="Arial" w:hAnsi="Arial" w:cs="Arial"/>
                <w:b/>
                <w:bCs/>
                <w:sz w:val="22"/>
                <w:szCs w:val="22"/>
              </w:rPr>
              <w:fldChar w:fldCharType="separate"/>
            </w:r>
            <w:r>
              <w:rPr>
                <w:rFonts w:ascii="Arial" w:hAnsi="Arial" w:cs="Arial"/>
                <w:b/>
                <w:bCs/>
                <w:noProof/>
                <w:sz w:val="22"/>
                <w:szCs w:val="22"/>
              </w:rPr>
              <w:t>9,991,000.00</w:t>
            </w:r>
            <w:r w:rsidRPr="004E60DA">
              <w:rPr>
                <w:rFonts w:ascii="Arial" w:hAnsi="Arial" w:cs="Arial"/>
                <w:b/>
                <w:bCs/>
                <w:sz w:val="22"/>
                <w:szCs w:val="22"/>
              </w:rPr>
              <w:fldChar w:fldCharType="end"/>
            </w:r>
          </w:p>
        </w:tc>
        <w:tc>
          <w:tcPr>
            <w:tcW w:w="4680" w:type="dxa"/>
            <w:vAlign w:val="bottom"/>
          </w:tcPr>
          <w:p w14:paraId="7417C7BD" w14:textId="77777777" w:rsidR="0014526A" w:rsidRDefault="0014526A" w:rsidP="004D0BDF">
            <w:pPr>
              <w:pStyle w:val="ListParagraph"/>
              <w:ind w:left="180"/>
              <w:contextualSpacing w:val="0"/>
              <w:jc w:val="left"/>
              <w:rPr>
                <w:rFonts w:ascii="Arial" w:hAnsi="Arial" w:cs="Arial"/>
                <w:sz w:val="22"/>
                <w:szCs w:val="22"/>
              </w:rPr>
            </w:pPr>
            <w:r w:rsidRPr="00B23D37">
              <w:rPr>
                <w:rFonts w:ascii="Arial" w:hAnsi="Arial" w:cs="Arial"/>
                <w:sz w:val="22"/>
                <w:szCs w:val="22"/>
              </w:rPr>
              <w:t>total agreement amount</w:t>
            </w:r>
          </w:p>
        </w:tc>
      </w:tr>
    </w:tbl>
    <w:p w14:paraId="2BD14455" w14:textId="257F6915" w:rsidR="00422E6D" w:rsidRPr="00B23D37" w:rsidRDefault="0024531A" w:rsidP="00B87D86">
      <w:pPr>
        <w:pStyle w:val="ListParagraph"/>
        <w:widowControl w:val="0"/>
        <w:tabs>
          <w:tab w:val="left" w:pos="720"/>
        </w:tabs>
        <w:spacing w:line="360" w:lineRule="auto"/>
        <w:contextualSpacing w:val="0"/>
        <w:jc w:val="left"/>
        <w:rPr>
          <w:rFonts w:ascii="Arial" w:hAnsi="Arial" w:cs="Arial"/>
          <w:sz w:val="22"/>
          <w:szCs w:val="22"/>
        </w:rPr>
      </w:pPr>
      <w:r w:rsidRPr="00B23D37">
        <w:rPr>
          <w:rFonts w:ascii="Arial" w:hAnsi="Arial" w:cs="Arial"/>
          <w:sz w:val="22"/>
          <w:szCs w:val="22"/>
        </w:rPr>
        <w:t xml:space="preserve">      </w:t>
      </w:r>
    </w:p>
    <w:p w14:paraId="1AE495B0" w14:textId="54A16071" w:rsidR="00DF05B1" w:rsidRPr="00B23D37" w:rsidRDefault="00DF05B1" w:rsidP="00103D3D">
      <w:pPr>
        <w:pStyle w:val="Heading1"/>
      </w:pPr>
      <w:r w:rsidRPr="00103D3D">
        <w:t>SUBCONSULTANT</w:t>
      </w:r>
      <w:r w:rsidRPr="00B23D37">
        <w:t xml:space="preserve"> OVER-RUNS AND UNDER-RUNS</w:t>
      </w:r>
    </w:p>
    <w:p w14:paraId="33F05537" w14:textId="5A2D1AEB" w:rsidR="00D128AE" w:rsidRPr="00914169" w:rsidRDefault="00D128AE" w:rsidP="00421044">
      <w:pPr>
        <w:pStyle w:val="Heading2"/>
        <w:rPr>
          <w:b/>
        </w:rPr>
      </w:pPr>
      <w:r>
        <w:t xml:space="preserve">Over-run: </w:t>
      </w:r>
      <w:r w:rsidR="00DF05B1" w:rsidRPr="00B23D37">
        <w:t>Consultant shall require a</w:t>
      </w:r>
      <w:r w:rsidR="00260E40" w:rsidRPr="00B23D37">
        <w:t>ll</w:t>
      </w:r>
      <w:r w:rsidR="00DF05B1" w:rsidRPr="00B23D37">
        <w:t xml:space="preserve"> subconsultant</w:t>
      </w:r>
      <w:r w:rsidR="00260E40" w:rsidRPr="00B23D37">
        <w:t>s</w:t>
      </w:r>
      <w:r w:rsidR="00DF05B1" w:rsidRPr="00B23D37">
        <w:t xml:space="preserve"> to notify Consultant any time </w:t>
      </w:r>
      <w:r w:rsidR="004E197C" w:rsidRPr="00B23D37">
        <w:t xml:space="preserve">it has </w:t>
      </w:r>
      <w:r w:rsidR="004E197C" w:rsidRPr="00914169">
        <w:t xml:space="preserve">been determined that a </w:t>
      </w:r>
      <w:r w:rsidR="00DF05B1" w:rsidRPr="00914169">
        <w:t>subconsultant</w:t>
      </w:r>
      <w:r w:rsidR="004E197C" w:rsidRPr="00914169">
        <w:t>’s</w:t>
      </w:r>
      <w:r w:rsidR="00DF05B1" w:rsidRPr="00914169">
        <w:t xml:space="preserve"> costs </w:t>
      </w:r>
      <w:r w:rsidR="00B22E2F">
        <w:t>are expected to</w:t>
      </w:r>
      <w:r w:rsidR="00DF05B1" w:rsidRPr="00914169">
        <w:t xml:space="preserve"> exceed its fee estimate (over</w:t>
      </w:r>
      <w:r w:rsidR="00DF05B1" w:rsidRPr="00914169">
        <w:noBreakHyphen/>
        <w:t xml:space="preserve">run).  </w:t>
      </w:r>
      <w:r w:rsidR="00260E40" w:rsidRPr="00914169">
        <w:t xml:space="preserve">Consultant must </w:t>
      </w:r>
      <w:r w:rsidR="0068598A" w:rsidRPr="00914169">
        <w:t>provide acceptable justification</w:t>
      </w:r>
      <w:r w:rsidR="00604488" w:rsidRPr="00914169">
        <w:t xml:space="preserve"> for the </w:t>
      </w:r>
      <w:r w:rsidR="008B34EE" w:rsidRPr="00914169">
        <w:t>over-run and</w:t>
      </w:r>
      <w:r w:rsidR="0068598A" w:rsidRPr="00914169">
        <w:t xml:space="preserve"> </w:t>
      </w:r>
      <w:r w:rsidR="00260E40" w:rsidRPr="00914169">
        <w:t xml:space="preserve">obtain State’s written approval </w:t>
      </w:r>
      <w:r w:rsidR="00B12A99" w:rsidRPr="00914169">
        <w:t xml:space="preserve">and, </w:t>
      </w:r>
      <w:bookmarkStart w:id="1" w:name="_Hlk159847545"/>
      <w:r w:rsidR="00B12A99" w:rsidRPr="00914169">
        <w:t>if necessary, approval from Federal Highway Administration (FHWA)</w:t>
      </w:r>
      <w:r w:rsidR="00B12A99">
        <w:t xml:space="preserve">, </w:t>
      </w:r>
      <w:bookmarkEnd w:id="1"/>
      <w:r w:rsidR="0068598A" w:rsidRPr="00914169">
        <w:t xml:space="preserve">before </w:t>
      </w:r>
      <w:r w:rsidR="00B22E2F">
        <w:t xml:space="preserve">allowing subconsultants to </w:t>
      </w:r>
      <w:r w:rsidR="00604488" w:rsidRPr="00B12A99">
        <w:t>incur any cost over-run expenses.</w:t>
      </w:r>
      <w:r w:rsidR="00260E40" w:rsidRPr="00B12A99">
        <w:t xml:space="preserve"> </w:t>
      </w:r>
      <w:r w:rsidR="00795484" w:rsidRPr="00B12A99">
        <w:t xml:space="preserve"> </w:t>
      </w:r>
      <w:r w:rsidR="00B12A99" w:rsidRPr="00B12A99">
        <w:t>State</w:t>
      </w:r>
      <w:r w:rsidR="00B12A99">
        <w:t xml:space="preserve"> or FHWA</w:t>
      </w:r>
      <w:r w:rsidR="00B12A99" w:rsidRPr="00B12A99">
        <w:t>’s written approval does not authorize an increase</w:t>
      </w:r>
      <w:r w:rsidR="007D50BC" w:rsidRPr="00B12A99">
        <w:t xml:space="preserve"> in</w:t>
      </w:r>
      <w:r w:rsidRPr="00B12A99">
        <w:t xml:space="preserve"> the</w:t>
      </w:r>
      <w:r w:rsidR="000E4C4C" w:rsidRPr="00B12A99">
        <w:t xml:space="preserve"> total agreement amount (Section 2.C.)</w:t>
      </w:r>
      <w:r w:rsidRPr="00B12A99">
        <w:t>.</w:t>
      </w:r>
      <w:r w:rsidRPr="00914169">
        <w:t xml:space="preserve">  </w:t>
      </w:r>
    </w:p>
    <w:p w14:paraId="4E4F5216" w14:textId="6E1D4E32" w:rsidR="00DF05B1" w:rsidRPr="00914169" w:rsidRDefault="00D128AE" w:rsidP="00421044">
      <w:pPr>
        <w:pStyle w:val="Heading2"/>
      </w:pPr>
      <w:r w:rsidRPr="00914169">
        <w:t xml:space="preserve">Under-run: </w:t>
      </w:r>
      <w:r w:rsidR="00260E40" w:rsidRPr="00914169">
        <w:t>If</w:t>
      </w:r>
      <w:r w:rsidR="00DF05B1" w:rsidRPr="00914169">
        <w:t xml:space="preserve"> the amount of any subconsultant</w:t>
      </w:r>
      <w:r w:rsidR="004E197C" w:rsidRPr="00914169">
        <w:t>’s</w:t>
      </w:r>
      <w:r w:rsidR="00DF05B1" w:rsidRPr="00914169">
        <w:t xml:space="preserve"> cost</w:t>
      </w:r>
      <w:r w:rsidR="00AD648C" w:rsidRPr="00914169">
        <w:t xml:space="preserve"> is less than its fee estimate (</w:t>
      </w:r>
      <w:r w:rsidR="00DF05B1" w:rsidRPr="00914169">
        <w:t>under-run</w:t>
      </w:r>
      <w:r w:rsidR="00AD648C" w:rsidRPr="00914169">
        <w:t>)</w:t>
      </w:r>
      <w:r w:rsidR="00260E40" w:rsidRPr="00914169">
        <w:t>, the amount of the under-run</w:t>
      </w:r>
      <w:r w:rsidR="00DF05B1" w:rsidRPr="00914169">
        <w:t xml:space="preserve"> </w:t>
      </w:r>
      <w:r w:rsidR="00B12A99">
        <w:t>may not be utilized by Consultant to offset Consultant’s own costs</w:t>
      </w:r>
      <w:r w:rsidR="00B12A99" w:rsidRPr="00914169" w:rsidDel="00B12A99">
        <w:t xml:space="preserve"> </w:t>
      </w:r>
      <w:r w:rsidR="00DF05B1" w:rsidRPr="00914169">
        <w:t>unless</w:t>
      </w:r>
      <w:r w:rsidR="00260E40" w:rsidRPr="00914169">
        <w:t xml:space="preserve"> State gives</w:t>
      </w:r>
      <w:r w:rsidR="00DF05B1" w:rsidRPr="00914169">
        <w:t xml:space="preserve"> prior written approval and, </w:t>
      </w:r>
      <w:r w:rsidR="00B25DA7" w:rsidRPr="00914169">
        <w:t xml:space="preserve">if </w:t>
      </w:r>
      <w:r w:rsidR="00260E40" w:rsidRPr="00914169">
        <w:t>necessary</w:t>
      </w:r>
      <w:r w:rsidR="00DF05B1" w:rsidRPr="00914169">
        <w:t xml:space="preserve">, </w:t>
      </w:r>
      <w:r w:rsidR="00260E40" w:rsidRPr="00914169">
        <w:t xml:space="preserve">approval </w:t>
      </w:r>
      <w:r w:rsidR="00AD648C" w:rsidRPr="00914169">
        <w:t xml:space="preserve">from </w:t>
      </w:r>
      <w:r w:rsidR="00DF05B1" w:rsidRPr="00914169">
        <w:t>Federal Highway Administration (FHWA).</w:t>
      </w:r>
      <w:r w:rsidR="00AD648C" w:rsidRPr="00914169">
        <w:t xml:space="preserve">  </w:t>
      </w:r>
    </w:p>
    <w:p w14:paraId="420C1BB6" w14:textId="1A0DE46E" w:rsidR="00991A76" w:rsidRPr="00914169" w:rsidRDefault="00FB4A9B" w:rsidP="00103D3D">
      <w:pPr>
        <w:pStyle w:val="Heading1"/>
      </w:pPr>
      <w:r w:rsidRPr="00914169">
        <w:t>ALLOWABLE COSTS</w:t>
      </w:r>
      <w:r w:rsidR="00991A76" w:rsidRPr="00914169">
        <w:t xml:space="preserve">  </w:t>
      </w:r>
    </w:p>
    <w:p w14:paraId="658FDC26" w14:textId="468843EE" w:rsidR="00D8286D" w:rsidRPr="00B23D37" w:rsidRDefault="00991A76" w:rsidP="00316742">
      <w:pPr>
        <w:keepNext/>
        <w:autoSpaceDE w:val="0"/>
        <w:autoSpaceDN w:val="0"/>
        <w:adjustRightInd w:val="0"/>
        <w:spacing w:line="360" w:lineRule="auto"/>
        <w:ind w:left="446"/>
        <w:rPr>
          <w:rFonts w:cs="Arial"/>
          <w:snapToGrid w:val="0"/>
          <w:szCs w:val="22"/>
        </w:rPr>
      </w:pPr>
      <w:r w:rsidRPr="00914169">
        <w:rPr>
          <w:rFonts w:cs="Arial"/>
          <w:snapToGrid w:val="0"/>
          <w:szCs w:val="22"/>
        </w:rPr>
        <w:t>A</w:t>
      </w:r>
      <w:r w:rsidR="00FB4A9B" w:rsidRPr="00914169">
        <w:rPr>
          <w:rFonts w:cs="Arial"/>
          <w:snapToGrid w:val="0"/>
          <w:szCs w:val="22"/>
        </w:rPr>
        <w:t>llow</w:t>
      </w:r>
      <w:r w:rsidRPr="00914169">
        <w:rPr>
          <w:rFonts w:cs="Arial"/>
          <w:snapToGrid w:val="0"/>
          <w:szCs w:val="22"/>
        </w:rPr>
        <w:t>able</w:t>
      </w:r>
      <w:r w:rsidRPr="00914169">
        <w:rPr>
          <w:rFonts w:cs="Arial"/>
          <w:szCs w:val="22"/>
        </w:rPr>
        <w:t xml:space="preserve"> costs </w:t>
      </w:r>
      <w:r w:rsidR="00B93234" w:rsidRPr="00914169">
        <w:rPr>
          <w:rFonts w:cs="Arial"/>
          <w:szCs w:val="22"/>
        </w:rPr>
        <w:t>are</w:t>
      </w:r>
      <w:r w:rsidRPr="00914169">
        <w:rPr>
          <w:rFonts w:cs="Arial"/>
          <w:szCs w:val="22"/>
        </w:rPr>
        <w:t xml:space="preserve"> </w:t>
      </w:r>
      <w:r w:rsidRPr="00914169">
        <w:rPr>
          <w:rFonts w:cs="Arial"/>
          <w:snapToGrid w:val="0"/>
          <w:szCs w:val="22"/>
        </w:rPr>
        <w:t xml:space="preserve">direct labor costs, </w:t>
      </w:r>
      <w:r w:rsidR="00BC39C5" w:rsidRPr="00914169">
        <w:rPr>
          <w:rFonts w:cs="Arial"/>
          <w:snapToGrid w:val="0"/>
          <w:szCs w:val="22"/>
        </w:rPr>
        <w:t xml:space="preserve">and </w:t>
      </w:r>
      <w:r w:rsidRPr="00914169">
        <w:rPr>
          <w:rFonts w:cs="Arial"/>
          <w:szCs w:val="22"/>
        </w:rPr>
        <w:t>direct non-labor costs</w:t>
      </w:r>
      <w:r w:rsidR="00F32CD4" w:rsidRPr="00914169">
        <w:rPr>
          <w:rFonts w:cs="Arial"/>
          <w:szCs w:val="22"/>
        </w:rPr>
        <w:t xml:space="preserve"> </w:t>
      </w:r>
      <w:r w:rsidR="00B25DA7" w:rsidRPr="00914169">
        <w:rPr>
          <w:rFonts w:cs="Arial"/>
          <w:szCs w:val="22"/>
        </w:rPr>
        <w:t>as defined below</w:t>
      </w:r>
      <w:r w:rsidR="00683E60" w:rsidRPr="00914169">
        <w:rPr>
          <w:rFonts w:cs="Arial"/>
          <w:szCs w:val="22"/>
        </w:rPr>
        <w:t xml:space="preserve"> </w:t>
      </w:r>
      <w:r w:rsidR="00B25DA7" w:rsidRPr="00914169">
        <w:rPr>
          <w:rFonts w:cs="Arial"/>
          <w:szCs w:val="22"/>
        </w:rPr>
        <w:t xml:space="preserve">which </w:t>
      </w:r>
      <w:r w:rsidR="00F32CD4" w:rsidRPr="00914169">
        <w:rPr>
          <w:rFonts w:cs="Arial"/>
          <w:szCs w:val="22"/>
        </w:rPr>
        <w:t>Consultant</w:t>
      </w:r>
      <w:r w:rsidR="00B25DA7" w:rsidRPr="00914169">
        <w:rPr>
          <w:rFonts w:cs="Arial"/>
          <w:szCs w:val="22"/>
        </w:rPr>
        <w:t xml:space="preserve"> has</w:t>
      </w:r>
      <w:r w:rsidR="000B3C3B" w:rsidRPr="00914169">
        <w:rPr>
          <w:rFonts w:cs="Arial"/>
          <w:szCs w:val="22"/>
        </w:rPr>
        <w:t xml:space="preserve"> incurred</w:t>
      </w:r>
      <w:r w:rsidR="00F32CD4" w:rsidRPr="00914169">
        <w:rPr>
          <w:rFonts w:cs="Arial"/>
          <w:szCs w:val="22"/>
        </w:rPr>
        <w:t xml:space="preserve"> </w:t>
      </w:r>
      <w:r w:rsidR="00B93234" w:rsidRPr="00914169">
        <w:rPr>
          <w:rFonts w:cs="Arial"/>
          <w:szCs w:val="22"/>
        </w:rPr>
        <w:t>within</w:t>
      </w:r>
      <w:r w:rsidR="00F32CD4" w:rsidRPr="00914169">
        <w:rPr>
          <w:rFonts w:cs="Arial"/>
          <w:szCs w:val="22"/>
        </w:rPr>
        <w:t xml:space="preserve"> </w:t>
      </w:r>
      <w:r w:rsidR="00493780">
        <w:rPr>
          <w:rFonts w:cs="Arial"/>
          <w:szCs w:val="22"/>
        </w:rPr>
        <w:t>180</w:t>
      </w:r>
      <w:r w:rsidR="00F32CD4" w:rsidRPr="00914169">
        <w:rPr>
          <w:rFonts w:cs="Arial"/>
          <w:szCs w:val="22"/>
        </w:rPr>
        <w:t xml:space="preserve"> days </w:t>
      </w:r>
      <w:r w:rsidR="00B93234" w:rsidRPr="00914169">
        <w:rPr>
          <w:rFonts w:cs="Arial"/>
          <w:szCs w:val="22"/>
        </w:rPr>
        <w:t>before</w:t>
      </w:r>
      <w:r w:rsidR="00F32CD4" w:rsidRPr="00914169">
        <w:rPr>
          <w:rFonts w:cs="Arial"/>
          <w:szCs w:val="22"/>
        </w:rPr>
        <w:t xml:space="preserve"> State</w:t>
      </w:r>
      <w:r w:rsidR="008914D8" w:rsidRPr="00914169">
        <w:rPr>
          <w:rFonts w:cs="Arial"/>
          <w:szCs w:val="22"/>
        </w:rPr>
        <w:t xml:space="preserve"> has</w:t>
      </w:r>
      <w:r w:rsidR="00F32CD4" w:rsidRPr="00914169">
        <w:rPr>
          <w:rFonts w:cs="Arial"/>
          <w:szCs w:val="22"/>
        </w:rPr>
        <w:t xml:space="preserve"> rece</w:t>
      </w:r>
      <w:r w:rsidR="00B93234" w:rsidRPr="00914169">
        <w:rPr>
          <w:rFonts w:cs="Arial"/>
          <w:szCs w:val="22"/>
        </w:rPr>
        <w:t>ived</w:t>
      </w:r>
      <w:r w:rsidR="00F32CD4" w:rsidRPr="00914169">
        <w:rPr>
          <w:rFonts w:cs="Arial"/>
          <w:szCs w:val="22"/>
        </w:rPr>
        <w:t xml:space="preserve"> </w:t>
      </w:r>
      <w:r w:rsidR="003B4FBA" w:rsidRPr="00914169">
        <w:rPr>
          <w:rFonts w:cs="Arial"/>
          <w:szCs w:val="22"/>
        </w:rPr>
        <w:t xml:space="preserve">Consultant’s </w:t>
      </w:r>
      <w:r w:rsidR="00F32CD4" w:rsidRPr="00914169">
        <w:rPr>
          <w:rFonts w:cs="Arial"/>
          <w:szCs w:val="22"/>
        </w:rPr>
        <w:t>invoice</w:t>
      </w:r>
      <w:r w:rsidRPr="00914169">
        <w:rPr>
          <w:rFonts w:cs="Arial"/>
          <w:snapToGrid w:val="0"/>
          <w:szCs w:val="22"/>
        </w:rPr>
        <w:t>.</w:t>
      </w:r>
      <w:r w:rsidR="00C10615" w:rsidRPr="00914169">
        <w:rPr>
          <w:rFonts w:cs="Arial"/>
          <w:snapToGrid w:val="0"/>
          <w:szCs w:val="22"/>
        </w:rPr>
        <w:t xml:space="preserve">  </w:t>
      </w:r>
      <w:r w:rsidR="000E4C4C">
        <w:rPr>
          <w:rFonts w:cs="Arial"/>
          <w:snapToGrid w:val="0"/>
          <w:szCs w:val="22"/>
        </w:rPr>
        <w:t>Allowable c</w:t>
      </w:r>
      <w:r w:rsidR="00165C7C" w:rsidRPr="00914169">
        <w:rPr>
          <w:rFonts w:cs="Arial"/>
          <w:snapToGrid w:val="0"/>
          <w:szCs w:val="22"/>
        </w:rPr>
        <w:t xml:space="preserve">osts </w:t>
      </w:r>
      <w:r w:rsidR="000E4C4C">
        <w:rPr>
          <w:rFonts w:cs="Arial"/>
          <w:snapToGrid w:val="0"/>
          <w:szCs w:val="22"/>
        </w:rPr>
        <w:t xml:space="preserve">do not include those costs </w:t>
      </w:r>
      <w:r w:rsidR="000B3C3B" w:rsidRPr="00914169">
        <w:rPr>
          <w:rFonts w:cs="Arial"/>
          <w:snapToGrid w:val="0"/>
          <w:szCs w:val="22"/>
        </w:rPr>
        <w:t xml:space="preserve">that </w:t>
      </w:r>
      <w:r w:rsidR="00165C7C" w:rsidRPr="00914169">
        <w:rPr>
          <w:rFonts w:cs="Arial"/>
          <w:snapToGrid w:val="0"/>
          <w:szCs w:val="22"/>
        </w:rPr>
        <w:t>Consultant</w:t>
      </w:r>
      <w:r w:rsidR="000B3C3B" w:rsidRPr="00914169">
        <w:rPr>
          <w:rFonts w:cs="Arial"/>
          <w:snapToGrid w:val="0"/>
          <w:szCs w:val="22"/>
        </w:rPr>
        <w:t xml:space="preserve"> incurred</w:t>
      </w:r>
      <w:r w:rsidR="00165C7C" w:rsidRPr="00914169">
        <w:rPr>
          <w:rFonts w:cs="Arial"/>
          <w:snapToGrid w:val="0"/>
          <w:szCs w:val="22"/>
        </w:rPr>
        <w:t xml:space="preserve"> to correct mistakes</w:t>
      </w:r>
      <w:r w:rsidR="00165C7C" w:rsidRPr="00B23D37">
        <w:rPr>
          <w:rFonts w:cs="Arial"/>
          <w:snapToGrid w:val="0"/>
          <w:szCs w:val="22"/>
        </w:rPr>
        <w:t xml:space="preserve"> or </w:t>
      </w:r>
      <w:r w:rsidR="00165C7C" w:rsidRPr="00B23D37">
        <w:rPr>
          <w:rFonts w:cs="Arial"/>
          <w:snapToGrid w:val="0"/>
          <w:szCs w:val="22"/>
        </w:rPr>
        <w:lastRenderedPageBreak/>
        <w:t>errors attribut</w:t>
      </w:r>
      <w:r w:rsidR="000B3C3B" w:rsidRPr="00B23D37">
        <w:rPr>
          <w:rFonts w:cs="Arial"/>
          <w:snapToGrid w:val="0"/>
          <w:szCs w:val="22"/>
        </w:rPr>
        <w:t>able</w:t>
      </w:r>
      <w:r w:rsidR="00165C7C" w:rsidRPr="00B23D37">
        <w:rPr>
          <w:rFonts w:cs="Arial"/>
          <w:snapToGrid w:val="0"/>
          <w:szCs w:val="22"/>
        </w:rPr>
        <w:t xml:space="preserve"> to Consultant’s </w:t>
      </w:r>
      <w:r w:rsidR="0024531A" w:rsidRPr="00B23D37">
        <w:rPr>
          <w:rFonts w:cs="Arial"/>
          <w:snapToGrid w:val="0"/>
          <w:szCs w:val="22"/>
        </w:rPr>
        <w:t xml:space="preserve">or Subconsultant’s </w:t>
      </w:r>
      <w:r w:rsidR="00165C7C" w:rsidRPr="00B23D37">
        <w:rPr>
          <w:rFonts w:cs="Arial"/>
          <w:snapToGrid w:val="0"/>
          <w:szCs w:val="22"/>
        </w:rPr>
        <w:t>own actions, even if those costs would not exceed the</w:t>
      </w:r>
      <w:r w:rsidR="00B25DA7" w:rsidRPr="00B23D37">
        <w:rPr>
          <w:rFonts w:cs="Arial"/>
          <w:snapToGrid w:val="0"/>
          <w:szCs w:val="22"/>
        </w:rPr>
        <w:t xml:space="preserve"> amounts</w:t>
      </w:r>
      <w:r w:rsidR="00165C7C" w:rsidRPr="00B23D37">
        <w:rPr>
          <w:rFonts w:cs="Arial"/>
          <w:snapToGrid w:val="0"/>
          <w:szCs w:val="22"/>
        </w:rPr>
        <w:t xml:space="preserve"> </w:t>
      </w:r>
      <w:r w:rsidR="00CE51F4" w:rsidRPr="00B23D37">
        <w:rPr>
          <w:rFonts w:cs="Arial"/>
          <w:snapToGrid w:val="0"/>
          <w:szCs w:val="22"/>
        </w:rPr>
        <w:t xml:space="preserve">listed </w:t>
      </w:r>
      <w:r w:rsidR="000B3C3B" w:rsidRPr="00B23D37">
        <w:rPr>
          <w:rFonts w:cs="Arial"/>
          <w:snapToGrid w:val="0"/>
          <w:szCs w:val="22"/>
        </w:rPr>
        <w:t>in Section 2</w:t>
      </w:r>
      <w:r w:rsidR="001F5E54" w:rsidRPr="00B23D37">
        <w:rPr>
          <w:rFonts w:cs="Arial"/>
          <w:snapToGrid w:val="0"/>
          <w:szCs w:val="22"/>
        </w:rPr>
        <w:t>.</w:t>
      </w:r>
      <w:r w:rsidR="000B3C3B" w:rsidRPr="00B23D37">
        <w:rPr>
          <w:rFonts w:cs="Arial"/>
          <w:snapToGrid w:val="0"/>
          <w:szCs w:val="22"/>
        </w:rPr>
        <w:t xml:space="preserve">  </w:t>
      </w:r>
      <w:r w:rsidR="00FD46AC" w:rsidRPr="00B23D37">
        <w:rPr>
          <w:rFonts w:cs="Arial"/>
          <w:snapToGrid w:val="0"/>
          <w:szCs w:val="22"/>
        </w:rPr>
        <w:t>MAXIMUM AGREEMENT AMOUNTS</w:t>
      </w:r>
      <w:r w:rsidR="000B3C3B" w:rsidRPr="00B23D37">
        <w:rPr>
          <w:rFonts w:cs="Arial"/>
          <w:snapToGrid w:val="0"/>
          <w:szCs w:val="22"/>
        </w:rPr>
        <w:t xml:space="preserve">. </w:t>
      </w:r>
      <w:r w:rsidR="001F5E54" w:rsidRPr="00B23D37">
        <w:rPr>
          <w:rFonts w:cs="Arial"/>
          <w:snapToGrid w:val="0"/>
          <w:szCs w:val="22"/>
        </w:rPr>
        <w:t xml:space="preserve"> </w:t>
      </w:r>
    </w:p>
    <w:p w14:paraId="5AFD7F23" w14:textId="74A2EC15" w:rsidR="00991A76" w:rsidRPr="00B23D37" w:rsidRDefault="001D4C24" w:rsidP="001D4C24">
      <w:pPr>
        <w:pStyle w:val="Heading2"/>
      </w:pPr>
      <w:r w:rsidRPr="00B23D37">
        <w:rPr>
          <w:u w:val="single"/>
        </w:rPr>
        <w:t>Direct Labor Costs</w:t>
      </w:r>
      <w:r w:rsidRPr="00B23D37">
        <w:t xml:space="preserve"> </w:t>
      </w:r>
      <w:r w:rsidR="00991A76" w:rsidRPr="00B23D37">
        <w:t xml:space="preserve">are </w:t>
      </w:r>
      <w:r w:rsidR="00123FE9" w:rsidRPr="006A1F88">
        <w:t>based on the</w:t>
      </w:r>
      <w:r>
        <w:t xml:space="preserve"> </w:t>
      </w:r>
      <w:r w:rsidR="00123FE9" w:rsidRPr="00197CCC">
        <w:t xml:space="preserve">specific rate of compensation (SRC or </w:t>
      </w:r>
      <w:r w:rsidR="00123FE9" w:rsidRPr="003A1953">
        <w:t>billing rate)</w:t>
      </w:r>
      <w:r w:rsidR="00123FE9" w:rsidRPr="00197CCC">
        <w:t xml:space="preserve"> </w:t>
      </w:r>
      <w:r w:rsidR="00912AE5" w:rsidRPr="00B23D37">
        <w:t xml:space="preserve">Consultant </w:t>
      </w:r>
      <w:r w:rsidR="00123FE9" w:rsidRPr="00197CCC">
        <w:t xml:space="preserve">will charge </w:t>
      </w:r>
      <w:r w:rsidR="00137029" w:rsidRPr="00197CCC">
        <w:t xml:space="preserve">State </w:t>
      </w:r>
      <w:r w:rsidR="00991A76" w:rsidRPr="00B23D37">
        <w:t xml:space="preserve">for </w:t>
      </w:r>
      <w:r w:rsidR="00137029" w:rsidRPr="00197CCC">
        <w:t xml:space="preserve">Consultant’s </w:t>
      </w:r>
      <w:r w:rsidR="00123FE9" w:rsidRPr="00197CCC">
        <w:t>employees</w:t>
      </w:r>
      <w:r w:rsidR="00137029" w:rsidRPr="00197CCC">
        <w:t>’</w:t>
      </w:r>
      <w:r w:rsidR="00123FE9" w:rsidRPr="00197CCC">
        <w:t xml:space="preserve"> </w:t>
      </w:r>
      <w:r w:rsidR="00991A76" w:rsidRPr="00B23D37">
        <w:t xml:space="preserve">time working directly on </w:t>
      </w:r>
      <w:r w:rsidR="00123FE9" w:rsidRPr="00197CCC">
        <w:t>this</w:t>
      </w:r>
      <w:r w:rsidR="00991A76" w:rsidRPr="00B23D37">
        <w:t xml:space="preserve"> project</w:t>
      </w:r>
      <w:r w:rsidR="00123FE9" w:rsidRPr="00197CCC">
        <w:t xml:space="preserve">.  The direct labor costs </w:t>
      </w:r>
      <w:r w:rsidR="008B34EE" w:rsidRPr="00197CCC">
        <w:t>are</w:t>
      </w:r>
      <w:r w:rsidR="00912AE5" w:rsidRPr="00B23D37">
        <w:t xml:space="preserve"> </w:t>
      </w:r>
      <w:r w:rsidR="00B25DA7" w:rsidRPr="00B23D37">
        <w:t xml:space="preserve">calculated by </w:t>
      </w:r>
      <w:r w:rsidR="00912AE5" w:rsidRPr="00B23D37">
        <w:t xml:space="preserve">multiplying the </w:t>
      </w:r>
      <w:r w:rsidR="004E20DE">
        <w:t xml:space="preserve">appropriate </w:t>
      </w:r>
      <w:r w:rsidR="00123FE9" w:rsidRPr="00197CCC">
        <w:t>SRC rate, as indicated on the Staffing Plan in Exhibit “</w:t>
      </w:r>
      <w:r w:rsidR="00123FE9" w:rsidRPr="00637001">
        <w:rPr>
          <w:highlight w:val="yellow"/>
        </w:rPr>
        <w:t>&lt;fee proposal&gt;</w:t>
      </w:r>
      <w:r w:rsidR="00123FE9" w:rsidRPr="00197CCC">
        <w:t>” Consultant’s Fee Proposal,</w:t>
      </w:r>
      <w:r w:rsidR="001E49E4" w:rsidRPr="00B23D37">
        <w:t xml:space="preserve"> by the hours worked</w:t>
      </w:r>
      <w:r w:rsidR="004355AE" w:rsidRPr="00B23D37">
        <w:t xml:space="preserve"> (in increments not less than one quarter hour).</w:t>
      </w:r>
      <w:r w:rsidR="001331D0">
        <w:t xml:space="preserve">  </w:t>
      </w:r>
    </w:p>
    <w:p w14:paraId="38A15D78" w14:textId="42AA3CFD" w:rsidR="000169A7" w:rsidRPr="00B23D37" w:rsidRDefault="00872E9D" w:rsidP="001D4C24">
      <w:pPr>
        <w:widowControl w:val="0"/>
        <w:tabs>
          <w:tab w:val="left" w:pos="1440"/>
        </w:tabs>
        <w:autoSpaceDE w:val="0"/>
        <w:autoSpaceDN w:val="0"/>
        <w:adjustRightInd w:val="0"/>
        <w:spacing w:line="360" w:lineRule="auto"/>
        <w:ind w:left="900" w:hanging="360"/>
        <w:rPr>
          <w:rFonts w:cs="Arial"/>
          <w:snapToGrid w:val="0"/>
          <w:szCs w:val="22"/>
        </w:rPr>
      </w:pPr>
      <w:r>
        <w:rPr>
          <w:rFonts w:cs="Arial"/>
          <w:snapToGrid w:val="0"/>
          <w:szCs w:val="22"/>
        </w:rPr>
        <w:tab/>
      </w:r>
      <w:r w:rsidR="000169A7" w:rsidRPr="008964C7">
        <w:rPr>
          <w:rFonts w:cs="Arial"/>
          <w:snapToGrid w:val="0"/>
          <w:szCs w:val="22"/>
        </w:rPr>
        <w:t xml:space="preserve">The Staffing Plan </w:t>
      </w:r>
      <w:r w:rsidR="000A5FA1">
        <w:rPr>
          <w:rFonts w:cs="Arial"/>
          <w:snapToGrid w:val="0"/>
          <w:szCs w:val="22"/>
        </w:rPr>
        <w:t>identifies</w:t>
      </w:r>
      <w:r w:rsidR="000169A7" w:rsidRPr="008964C7">
        <w:rPr>
          <w:rFonts w:cs="Arial"/>
          <w:snapToGrid w:val="0"/>
          <w:szCs w:val="22"/>
        </w:rPr>
        <w:t xml:space="preserve"> </w:t>
      </w:r>
      <w:r w:rsidR="00BA52EE">
        <w:rPr>
          <w:rFonts w:cs="Arial"/>
          <w:snapToGrid w:val="0"/>
          <w:szCs w:val="22"/>
        </w:rPr>
        <w:t>the</w:t>
      </w:r>
      <w:r w:rsidR="000169A7" w:rsidRPr="008964C7">
        <w:rPr>
          <w:rFonts w:cs="Arial"/>
          <w:snapToGrid w:val="0"/>
          <w:szCs w:val="22"/>
        </w:rPr>
        <w:t xml:space="preserve"> name </w:t>
      </w:r>
      <w:r w:rsidR="00BA52EE">
        <w:rPr>
          <w:rFonts w:cs="Arial"/>
          <w:snapToGrid w:val="0"/>
          <w:szCs w:val="22"/>
        </w:rPr>
        <w:t xml:space="preserve">and SRC rate(s) of </w:t>
      </w:r>
      <w:r w:rsidR="000169A7" w:rsidRPr="008964C7">
        <w:rPr>
          <w:rFonts w:cs="Arial"/>
          <w:snapToGrid w:val="0"/>
          <w:szCs w:val="22"/>
        </w:rPr>
        <w:t xml:space="preserve">all employees of the Consultant who are reasonably expected to provide </w:t>
      </w:r>
      <w:r w:rsidR="000169A7">
        <w:rPr>
          <w:rFonts w:cs="Arial"/>
          <w:snapToGrid w:val="0"/>
          <w:szCs w:val="22"/>
        </w:rPr>
        <w:t>S</w:t>
      </w:r>
      <w:r w:rsidR="000169A7" w:rsidRPr="008964C7">
        <w:rPr>
          <w:rFonts w:cs="Arial"/>
          <w:snapToGrid w:val="0"/>
          <w:szCs w:val="22"/>
        </w:rPr>
        <w:t xml:space="preserve">ervices under this Agreement.  </w:t>
      </w:r>
      <w:r w:rsidR="00DA4AD4">
        <w:rPr>
          <w:rFonts w:cs="Arial"/>
          <w:snapToGrid w:val="0"/>
          <w:szCs w:val="22"/>
        </w:rPr>
        <w:t xml:space="preserve">SRC rates </w:t>
      </w:r>
      <w:r w:rsidR="001331D0">
        <w:rPr>
          <w:rFonts w:cs="Arial"/>
          <w:snapToGrid w:val="0"/>
          <w:szCs w:val="22"/>
        </w:rPr>
        <w:t>will</w:t>
      </w:r>
      <w:r w:rsidR="00DA4AD4">
        <w:rPr>
          <w:rFonts w:cs="Arial"/>
          <w:snapToGrid w:val="0"/>
          <w:szCs w:val="22"/>
        </w:rPr>
        <w:t xml:space="preserve"> not be modified for the duration of this Agreement u</w:t>
      </w:r>
      <w:r w:rsidR="002F2123">
        <w:rPr>
          <w:rFonts w:cs="Arial"/>
          <w:snapToGrid w:val="0"/>
          <w:szCs w:val="22"/>
        </w:rPr>
        <w:t>nless ex</w:t>
      </w:r>
      <w:r w:rsidR="00DA4AD4">
        <w:rPr>
          <w:rFonts w:cs="Arial"/>
          <w:snapToGrid w:val="0"/>
          <w:szCs w:val="22"/>
        </w:rPr>
        <w:t xml:space="preserve">pressly </w:t>
      </w:r>
      <w:r w:rsidR="002F2123">
        <w:rPr>
          <w:rFonts w:cs="Arial"/>
          <w:snapToGrid w:val="0"/>
          <w:szCs w:val="22"/>
        </w:rPr>
        <w:t>stated in a supplement</w:t>
      </w:r>
      <w:r w:rsidR="007709AE">
        <w:rPr>
          <w:rFonts w:cs="Arial"/>
          <w:snapToGrid w:val="0"/>
          <w:szCs w:val="22"/>
        </w:rPr>
        <w:t>al</w:t>
      </w:r>
      <w:r w:rsidR="002F2123">
        <w:rPr>
          <w:rFonts w:cs="Arial"/>
          <w:snapToGrid w:val="0"/>
          <w:szCs w:val="22"/>
        </w:rPr>
        <w:t xml:space="preserve"> Agreement.  </w:t>
      </w:r>
    </w:p>
    <w:p w14:paraId="0DEFEF1F" w14:textId="77777777" w:rsidR="00897AFB" w:rsidRDefault="00897AFB" w:rsidP="00897AFB">
      <w:pPr>
        <w:pStyle w:val="Heading3"/>
      </w:pPr>
      <w:bookmarkStart w:id="2" w:name="_Hlk43796490"/>
      <w:r w:rsidRPr="00B23D37">
        <w:rPr>
          <w:u w:val="single"/>
        </w:rPr>
        <w:t>Time Reports</w:t>
      </w:r>
      <w:r w:rsidRPr="00B23D37">
        <w:t xml:space="preserve">:  All hours charged to the project must be documented on time distribution records.  The records must clearly indicate the daily number of </w:t>
      </w:r>
      <w:r w:rsidRPr="00C62287">
        <w:t>hours each employee worked on any project or activities for the entire pay period.</w:t>
      </w:r>
      <w:r w:rsidRPr="00C62287">
        <w:rPr>
          <w:b/>
        </w:rPr>
        <w:t xml:space="preserve">  Time reports must provide the employee’s name and position, dates of service, and a clear, identifying link to the projects; such as project description, project number, control number, and pertinent work phase.</w:t>
      </w:r>
      <w:r w:rsidRPr="00B23D37">
        <w:t xml:space="preserve">  Consultant must establish an adequate system of internal controls to ensure that time charge</w:t>
      </w:r>
      <w:r>
        <w:t>d</w:t>
      </w:r>
      <w:r w:rsidRPr="00B23D37">
        <w:t xml:space="preserve"> to projects are accurate and have appropriate supervisory approval.</w:t>
      </w:r>
    </w:p>
    <w:p w14:paraId="230CC610" w14:textId="6C53D419" w:rsidR="00F16920" w:rsidRDefault="001331D0" w:rsidP="001331D0">
      <w:pPr>
        <w:pStyle w:val="Heading3"/>
      </w:pPr>
      <w:r w:rsidRPr="001331D0">
        <w:rPr>
          <w:u w:val="single"/>
        </w:rPr>
        <w:t>New Employee</w:t>
      </w:r>
      <w:r w:rsidR="00897AFB">
        <w:rPr>
          <w:u w:val="single"/>
        </w:rPr>
        <w:t xml:space="preserve"> billing rate</w:t>
      </w:r>
      <w:r w:rsidRPr="001331D0">
        <w:rPr>
          <w:u w:val="single"/>
        </w:rPr>
        <w:t>s</w:t>
      </w:r>
      <w:r>
        <w:t xml:space="preserve">:  </w:t>
      </w:r>
      <w:r w:rsidRPr="008964C7">
        <w:t>F</w:t>
      </w:r>
      <w:r w:rsidRPr="00C80862">
        <w:t xml:space="preserve">or </w:t>
      </w:r>
      <w:r w:rsidR="0011157B">
        <w:t xml:space="preserve">new </w:t>
      </w:r>
      <w:r w:rsidRPr="00C80862">
        <w:t xml:space="preserve">employees not listed on the </w:t>
      </w:r>
      <w:r>
        <w:t>S</w:t>
      </w:r>
      <w:r w:rsidRPr="00C80862">
        <w:t xml:space="preserve">taffing </w:t>
      </w:r>
      <w:r>
        <w:t>P</w:t>
      </w:r>
      <w:r w:rsidRPr="00C80862">
        <w:t xml:space="preserve">lan, the </w:t>
      </w:r>
      <w:r>
        <w:t>SRC rate</w:t>
      </w:r>
      <w:r w:rsidR="0011157B">
        <w:t>(s)</w:t>
      </w:r>
      <w:r w:rsidRPr="00C80862">
        <w:t xml:space="preserve"> for </w:t>
      </w:r>
      <w:r w:rsidR="00F16920">
        <w:t xml:space="preserve">each </w:t>
      </w:r>
      <w:r w:rsidR="007549BA">
        <w:t>rate period</w:t>
      </w:r>
      <w:r w:rsidRPr="00C80862">
        <w:t xml:space="preserve"> shall be calculated in the same manner as employees listed on the </w:t>
      </w:r>
      <w:r w:rsidR="003A1953">
        <w:t>S</w:t>
      </w:r>
      <w:r w:rsidRPr="00C80862">
        <w:t xml:space="preserve">taffing </w:t>
      </w:r>
      <w:r w:rsidR="003A1953">
        <w:t>P</w:t>
      </w:r>
      <w:r w:rsidRPr="00C80862">
        <w:t>lan,</w:t>
      </w:r>
      <w:r w:rsidRPr="00BD041E">
        <w:t xml:space="preserve"> using the same overhead</w:t>
      </w:r>
      <w:r w:rsidR="00F16920">
        <w:t xml:space="preserve"> rate,</w:t>
      </w:r>
      <w:r w:rsidRPr="00BD041E">
        <w:t xml:space="preserve"> fee for profit rate</w:t>
      </w:r>
      <w:r w:rsidR="00F16920">
        <w:t>, and salary escalation rate</w:t>
      </w:r>
      <w:r w:rsidRPr="00BD041E">
        <w:t xml:space="preserve">, if </w:t>
      </w:r>
      <w:r w:rsidRPr="008964C7">
        <w:t>applicable</w:t>
      </w:r>
      <w:r w:rsidR="00F16920">
        <w:t>.</w:t>
      </w:r>
      <w:r w:rsidR="00B33761">
        <w:t xml:space="preserve">  SRC Rates </w:t>
      </w:r>
      <w:r w:rsidR="005F108C">
        <w:t xml:space="preserve">for new employees </w:t>
      </w:r>
      <w:r w:rsidR="00B33761">
        <w:t>shall be rounded to the nearest $0.10.</w:t>
      </w:r>
    </w:p>
    <w:p w14:paraId="24D751DF" w14:textId="43A3AF60" w:rsidR="00897AFB" w:rsidRDefault="00F16920" w:rsidP="00F16920">
      <w:pPr>
        <w:pStyle w:val="Heading4"/>
      </w:pPr>
      <w:r>
        <w:t>SRC rate(s)</w:t>
      </w:r>
      <w:r w:rsidR="001331D0" w:rsidRPr="008964C7">
        <w:t xml:space="preserve"> </w:t>
      </w:r>
      <w:r>
        <w:t xml:space="preserve">and calculation(s) </w:t>
      </w:r>
      <w:r w:rsidR="001331D0" w:rsidRPr="00A040B3">
        <w:t xml:space="preserve">must be </w:t>
      </w:r>
      <w:r w:rsidR="00897AFB">
        <w:t xml:space="preserve">provided </w:t>
      </w:r>
      <w:r w:rsidR="00577C36">
        <w:t xml:space="preserve">on </w:t>
      </w:r>
      <w:r w:rsidR="00577C36" w:rsidRPr="0026501E">
        <w:rPr>
          <w:i/>
          <w:iCs/>
        </w:rPr>
        <w:t>NDOT Form 164 – SRC Billing Rates Table for New Employees</w:t>
      </w:r>
      <w:r w:rsidR="00577C36">
        <w:t xml:space="preserve"> and submitted </w:t>
      </w:r>
      <w:r w:rsidR="00897AFB">
        <w:t>with</w:t>
      </w:r>
      <w:r w:rsidR="001331D0" w:rsidRPr="00A040B3">
        <w:t xml:space="preserve"> the first invoice that includes direct labor</w:t>
      </w:r>
      <w:r w:rsidR="00897AFB">
        <w:t xml:space="preserve"> from the new employee</w:t>
      </w:r>
      <w:r w:rsidR="0011157B">
        <w:t>s</w:t>
      </w:r>
      <w:r w:rsidR="001331D0" w:rsidRPr="00A040B3">
        <w:t>.</w:t>
      </w:r>
      <w:r w:rsidR="001331D0">
        <w:t xml:space="preserve">  </w:t>
      </w:r>
    </w:p>
    <w:p w14:paraId="367357EC" w14:textId="67A1AD69" w:rsidR="001331D0" w:rsidRPr="002F63C1" w:rsidRDefault="00980F4A" w:rsidP="00577C36">
      <w:pPr>
        <w:pStyle w:val="Heading4"/>
      </w:pPr>
      <w:r>
        <w:t xml:space="preserve">Calculations must include </w:t>
      </w:r>
      <w:r w:rsidR="00F16920">
        <w:t xml:space="preserve">new employee’s full name, job title or classification, </w:t>
      </w:r>
      <w:r>
        <w:t xml:space="preserve">date in which employee </w:t>
      </w:r>
      <w:r w:rsidR="00F16920">
        <w:t xml:space="preserve">first </w:t>
      </w:r>
      <w:r w:rsidR="0009375C">
        <w:t>worked on</w:t>
      </w:r>
      <w:r>
        <w:t xml:space="preserve"> the project</w:t>
      </w:r>
      <w:r w:rsidR="0009375C">
        <w:t xml:space="preserve"> and</w:t>
      </w:r>
      <w:r>
        <w:t xml:space="preserve"> </w:t>
      </w:r>
      <w:r w:rsidR="00F16920">
        <w:t>actual salary rate of employee on that date, the New Employee Multiplier as identified in the original Agreement, and salary escalation rate.</w:t>
      </w:r>
      <w:r w:rsidR="0009375C">
        <w:t xml:space="preserve">  </w:t>
      </w:r>
      <w:bookmarkStart w:id="3" w:name="_Hlk158971845"/>
      <w:r w:rsidR="0009375C">
        <w:t xml:space="preserve">SRC Rates must be calculated and shown for the current rate period </w:t>
      </w:r>
      <w:r w:rsidR="00B8094E">
        <w:t>through period 4.</w:t>
      </w:r>
      <w:bookmarkEnd w:id="3"/>
      <w:r w:rsidR="001331D0">
        <w:t xml:space="preserve">  </w:t>
      </w:r>
    </w:p>
    <w:bookmarkEnd w:id="2"/>
    <w:p w14:paraId="10D8F8E2" w14:textId="7B516EB9" w:rsidR="009A68E8" w:rsidRPr="001D4C24" w:rsidRDefault="009A68E8" w:rsidP="001D4C24">
      <w:pPr>
        <w:pStyle w:val="Heading2"/>
        <w:rPr>
          <w:i/>
          <w:iCs/>
        </w:rPr>
      </w:pPr>
      <w:r w:rsidRPr="001D4C24">
        <w:rPr>
          <w:i/>
          <w:iCs/>
        </w:rPr>
        <w:t>This section has intentionally been left blank.</w:t>
      </w:r>
    </w:p>
    <w:p w14:paraId="3CF90767" w14:textId="54C4A7D8" w:rsidR="00B03661" w:rsidRPr="00B23D37" w:rsidRDefault="00991A76" w:rsidP="001D4C24">
      <w:pPr>
        <w:pStyle w:val="Heading2"/>
      </w:pPr>
      <w:bookmarkStart w:id="4" w:name="_Hlk44329707"/>
      <w:r w:rsidRPr="00B23D37">
        <w:rPr>
          <w:u w:val="single"/>
        </w:rPr>
        <w:lastRenderedPageBreak/>
        <w:t xml:space="preserve">Direct </w:t>
      </w:r>
      <w:r w:rsidR="00207E48">
        <w:rPr>
          <w:u w:val="single"/>
        </w:rPr>
        <w:t xml:space="preserve">Expenses (Direct </w:t>
      </w:r>
      <w:r w:rsidRPr="00B23D37">
        <w:rPr>
          <w:u w:val="single"/>
        </w:rPr>
        <w:t>Non-Labor Costs</w:t>
      </w:r>
      <w:r w:rsidR="00E625D3" w:rsidRPr="00B23D37">
        <w:rPr>
          <w:u w:val="single"/>
        </w:rPr>
        <w:t>)</w:t>
      </w:r>
      <w:r w:rsidR="00FD46AC" w:rsidRPr="00B23D37">
        <w:t xml:space="preserve"> are</w:t>
      </w:r>
      <w:r w:rsidR="00B03661" w:rsidRPr="00B23D37">
        <w:t xml:space="preserve"> all necessary, properly documented, and allowable costs related to the Consultant completing the Services.  All costs must be supported by detailed receipts or invoices</w:t>
      </w:r>
      <w:r w:rsidR="00AF7C54">
        <w:t>, unless otherwise specified below</w:t>
      </w:r>
      <w:r w:rsidR="00B03661" w:rsidRPr="00B23D37">
        <w:t xml:space="preserve">.  Direct non-labor costs include, but are not limited to, the following:  </w:t>
      </w:r>
    </w:p>
    <w:p w14:paraId="389DD6CE" w14:textId="4E80E29E" w:rsidR="00991A76" w:rsidRPr="00B23D37" w:rsidRDefault="00B03661" w:rsidP="004319BC">
      <w:pPr>
        <w:tabs>
          <w:tab w:val="left" w:pos="1620"/>
        </w:tabs>
        <w:spacing w:after="120"/>
        <w:ind w:left="1620" w:right="475"/>
        <w:rPr>
          <w:rFonts w:cs="Arial"/>
          <w:snapToGrid w:val="0"/>
          <w:szCs w:val="22"/>
        </w:rPr>
      </w:pPr>
      <w:r w:rsidRPr="00B23D37">
        <w:rPr>
          <w:rFonts w:cs="Arial"/>
          <w:i/>
          <w:snapToGrid w:val="0"/>
          <w:szCs w:val="22"/>
        </w:rPr>
        <w:t>Transportation, mileage, lodging, and meals, subject to limitations specified below; Communication costs; Reproduction and printing costs; Special equipment and materials required for the project and approved by State; Special insurance premiums if required solely for this</w:t>
      </w:r>
      <w:r w:rsidR="004D5027" w:rsidRPr="00B23D37">
        <w:rPr>
          <w:rFonts w:cs="Arial"/>
          <w:i/>
          <w:snapToGrid w:val="0"/>
          <w:szCs w:val="22"/>
        </w:rPr>
        <w:t xml:space="preserve"> Agreement; Subconsultant costs</w:t>
      </w:r>
      <w:r w:rsidRPr="00B23D37">
        <w:rPr>
          <w:rFonts w:cs="Arial"/>
          <w:i/>
          <w:snapToGrid w:val="0"/>
          <w:szCs w:val="22"/>
        </w:rPr>
        <w:t>; Such other allowable items as approved by State.</w:t>
      </w:r>
    </w:p>
    <w:p w14:paraId="1A467541" w14:textId="1767F1FF" w:rsidR="00991A76" w:rsidRPr="00B23D37" w:rsidRDefault="00991A76" w:rsidP="00AF7C54">
      <w:pPr>
        <w:pStyle w:val="Heading3"/>
      </w:pPr>
      <w:r w:rsidRPr="00B23D37">
        <w:t>A non-labor cost charged as a direct cost cannot be included in Consultant’s overhead rate. If</w:t>
      </w:r>
      <w:r w:rsidR="00FD46AC" w:rsidRPr="00B23D37">
        <w:t>,</w:t>
      </w:r>
      <w:r w:rsidRPr="00B23D37">
        <w:t xml:space="preserve"> for reasons of practicality, Consultant </w:t>
      </w:r>
      <w:r w:rsidR="00FE22C9" w:rsidRPr="00B23D37">
        <w:t>does</w:t>
      </w:r>
      <w:r w:rsidRPr="00B23D37">
        <w:t xml:space="preserve"> treat a direct non-labor cost category as an overhead cost, then </w:t>
      </w:r>
      <w:r w:rsidR="007D4F5A" w:rsidRPr="00B23D37">
        <w:t xml:space="preserve">such </w:t>
      </w:r>
      <w:r w:rsidRPr="00B23D37">
        <w:t xml:space="preserve">costs are not eligible to be </w:t>
      </w:r>
      <w:r w:rsidR="007D4F5A" w:rsidRPr="00B23D37">
        <w:t xml:space="preserve">additionally </w:t>
      </w:r>
      <w:r w:rsidRPr="00B23D37">
        <w:t>billed as a direct expense</w:t>
      </w:r>
      <w:r w:rsidR="00FE22C9" w:rsidRPr="00B23D37">
        <w:t xml:space="preserve"> to this project</w:t>
      </w:r>
      <w:r w:rsidRPr="00B23D37">
        <w:t>.</w:t>
      </w:r>
    </w:p>
    <w:p w14:paraId="1C0CFEFB" w14:textId="0AFFB3FF" w:rsidR="00B03661" w:rsidRPr="00B23D37" w:rsidRDefault="00F43E15" w:rsidP="00AF7C54">
      <w:pPr>
        <w:pStyle w:val="Heading3"/>
      </w:pPr>
      <w:r w:rsidRPr="00B23D37">
        <w:t xml:space="preserve">Consultant shall require </w:t>
      </w:r>
      <w:r w:rsidR="003643F8" w:rsidRPr="00B23D37">
        <w:t>s</w:t>
      </w:r>
      <w:r w:rsidR="00B03661" w:rsidRPr="00B23D37">
        <w:t xml:space="preserve">ubconsultant costs </w:t>
      </w:r>
      <w:r w:rsidRPr="00B23D37">
        <w:t>to</w:t>
      </w:r>
      <w:r w:rsidR="00B03661" w:rsidRPr="00B23D37">
        <w:t xml:space="preserve"> have the same level of documentation as required </w:t>
      </w:r>
      <w:r w:rsidR="00921500" w:rsidRPr="00B23D37">
        <w:t xml:space="preserve">of </w:t>
      </w:r>
      <w:r w:rsidR="00B03661" w:rsidRPr="00B23D37">
        <w:t xml:space="preserve">Consultant. </w:t>
      </w:r>
      <w:r w:rsidR="008425ED" w:rsidRPr="00B23D37">
        <w:t xml:space="preserve"> </w:t>
      </w:r>
      <w:bookmarkStart w:id="5" w:name="_Hlk160005939"/>
      <w:r w:rsidR="008425ED" w:rsidRPr="00B23D37">
        <w:t xml:space="preserve">Consultant must review </w:t>
      </w:r>
      <w:r w:rsidR="003643F8" w:rsidRPr="00B23D37">
        <w:t>s</w:t>
      </w:r>
      <w:r w:rsidR="00921500" w:rsidRPr="00B23D37">
        <w:t>ubconsultant</w:t>
      </w:r>
      <w:r w:rsidR="00967A9C" w:rsidRPr="00B23D37">
        <w:t xml:space="preserve">s’ </w:t>
      </w:r>
      <w:r w:rsidR="008425ED" w:rsidRPr="00B23D37">
        <w:t xml:space="preserve">invoices and </w:t>
      </w:r>
      <w:r w:rsidR="00317434" w:rsidRPr="00B23D37">
        <w:t xml:space="preserve">progress reports </w:t>
      </w:r>
      <w:r w:rsidR="00BD3625" w:rsidRPr="00B23D37">
        <w:t xml:space="preserve">to ensure </w:t>
      </w:r>
      <w:r w:rsidR="00FE22C9" w:rsidRPr="00B23D37">
        <w:t>they are accurate</w:t>
      </w:r>
      <w:r w:rsidR="00BD3625" w:rsidRPr="00B23D37">
        <w:t xml:space="preserve">, </w:t>
      </w:r>
      <w:r w:rsidR="00FE22C9" w:rsidRPr="00B23D37">
        <w:t xml:space="preserve">include only </w:t>
      </w:r>
      <w:r w:rsidR="00BD3625" w:rsidRPr="00B23D37">
        <w:t>allowable</w:t>
      </w:r>
      <w:r w:rsidR="00FE22C9" w:rsidRPr="00B23D37">
        <w:t xml:space="preserve"> costs</w:t>
      </w:r>
      <w:r w:rsidR="000A20D6" w:rsidRPr="00B23D37">
        <w:t>,</w:t>
      </w:r>
      <w:r w:rsidR="00BD3625" w:rsidRPr="00B23D37">
        <w:t xml:space="preserve"> and </w:t>
      </w:r>
      <w:r w:rsidR="001D6720">
        <w:t>ha</w:t>
      </w:r>
      <w:r w:rsidR="00790E99">
        <w:t>ve</w:t>
      </w:r>
      <w:r w:rsidR="001D6720" w:rsidRPr="00B23D37">
        <w:t xml:space="preserve"> </w:t>
      </w:r>
      <w:r w:rsidR="00BD3625" w:rsidRPr="00B23D37">
        <w:t>proper document</w:t>
      </w:r>
      <w:r w:rsidR="00FE22C9" w:rsidRPr="00B23D37">
        <w:t>ation</w:t>
      </w:r>
      <w:r w:rsidR="00BD3625" w:rsidRPr="00B23D37">
        <w:t xml:space="preserve"> </w:t>
      </w:r>
      <w:r w:rsidR="00F15CC9" w:rsidRPr="00B23D37">
        <w:t>before</w:t>
      </w:r>
      <w:r w:rsidR="00967A9C" w:rsidRPr="00B23D37">
        <w:t xml:space="preserve"> sending</w:t>
      </w:r>
      <w:r w:rsidR="00F15CC9" w:rsidRPr="00B23D37">
        <w:t xml:space="preserve"> to State</w:t>
      </w:r>
      <w:r w:rsidR="008425ED" w:rsidRPr="00B23D37">
        <w:t>.</w:t>
      </w:r>
      <w:r w:rsidR="0042200D" w:rsidDel="0042200D">
        <w:t xml:space="preserve"> </w:t>
      </w:r>
      <w:bookmarkEnd w:id="5"/>
    </w:p>
    <w:p w14:paraId="399E97C9" w14:textId="72BCEFA8" w:rsidR="00B03661" w:rsidRPr="00B23D37" w:rsidRDefault="00B03661" w:rsidP="00AF7C54">
      <w:pPr>
        <w:pStyle w:val="Heading3"/>
      </w:pPr>
      <w:r w:rsidRPr="00B23D37">
        <w:t xml:space="preserve">The following direct </w:t>
      </w:r>
      <w:r w:rsidR="007F52D0" w:rsidRPr="00B23D37">
        <w:t xml:space="preserve">expenses </w:t>
      </w:r>
      <w:r w:rsidRPr="00B23D37">
        <w:t>will be reimbursed at actual costs, not to exceed the rates as shown below.</w:t>
      </w:r>
    </w:p>
    <w:p w14:paraId="1F8C3DDD" w14:textId="20D1D762" w:rsidR="00B23D37" w:rsidRPr="00B23D37" w:rsidRDefault="00B03661" w:rsidP="00AF7C54">
      <w:pPr>
        <w:pStyle w:val="Heading4"/>
        <w:rPr>
          <w:snapToGrid w:val="0"/>
        </w:rPr>
      </w:pPr>
      <w:r w:rsidRPr="00B23D37">
        <w:t xml:space="preserve">TRANSPORTATION – Automobile rentals, air fares, and taxi/shuttle transportation will be </w:t>
      </w:r>
      <w:r w:rsidR="00CE76CA" w:rsidRPr="00B23D37">
        <w:t xml:space="preserve">reimbursed at the </w:t>
      </w:r>
      <w:r w:rsidRPr="00510F10">
        <w:t>actual</w:t>
      </w:r>
      <w:r w:rsidR="001D6720" w:rsidRPr="00510F10">
        <w:t>,</w:t>
      </w:r>
      <w:r w:rsidRPr="00510F10">
        <w:t xml:space="preserve"> reasonable</w:t>
      </w:r>
      <w:r w:rsidRPr="00B23D37">
        <w:t xml:space="preserve"> cost and</w:t>
      </w:r>
      <w:r w:rsidR="00FD46AC" w:rsidRPr="00B23D37">
        <w:t>,</w:t>
      </w:r>
      <w:r w:rsidRPr="00B23D37">
        <w:t xml:space="preserve"> if discounts are applicable, the Consultant shall give State the benefit of all discounts.  </w:t>
      </w:r>
      <w:bookmarkStart w:id="6" w:name="_Hlk129338439"/>
      <w:r w:rsidR="000D23FD" w:rsidRPr="000D23FD">
        <w:t>Transportation arrangements should be made by the most economical method</w:t>
      </w:r>
      <w:bookmarkEnd w:id="6"/>
      <w:r w:rsidR="000D23FD" w:rsidRPr="000D23FD">
        <w:t xml:space="preserve"> available</w:t>
      </w:r>
      <w:r w:rsidR="00D918E2">
        <w:t>.</w:t>
      </w:r>
      <w:r w:rsidR="000D23FD">
        <w:t xml:space="preserve">  </w:t>
      </w:r>
      <w:r w:rsidR="004B384C" w:rsidRPr="00B23D37">
        <w:t>Itemized r</w:t>
      </w:r>
      <w:r w:rsidRPr="00B23D37">
        <w:t>eceipts must be submitted with invoices</w:t>
      </w:r>
      <w:r w:rsidR="00B23D37" w:rsidRPr="00B23D37">
        <w:t>.</w:t>
      </w:r>
      <w:r w:rsidR="004B384C" w:rsidRPr="00B23D37">
        <w:t xml:space="preserve">  </w:t>
      </w:r>
      <w:r w:rsidR="004B384C" w:rsidRPr="00B23D37">
        <w:rPr>
          <w:snapToGrid w:val="0"/>
        </w:rPr>
        <w:t xml:space="preserve">A bank card receipt that displays only the total cost of the transportation expense is not sufficient documentation.  </w:t>
      </w:r>
      <w:r w:rsidR="00AF7C54">
        <w:rPr>
          <w:snapToGrid w:val="0"/>
        </w:rPr>
        <w:t>Tips must be included in the total fare amount claimed on the travel log form.  Tips for complimentary transportation are considered an incidental expense and cannot be claimed as a transportation-related expense.</w:t>
      </w:r>
    </w:p>
    <w:p w14:paraId="53CAD0ED" w14:textId="396CF5A0" w:rsidR="00B03661" w:rsidRPr="00B23D37" w:rsidRDefault="00B03661" w:rsidP="00AD0124">
      <w:pPr>
        <w:pStyle w:val="Heading4"/>
      </w:pPr>
      <w:r w:rsidRPr="00B23D37">
        <w:t xml:space="preserve">MILEAGE – The reimbursement for mileage associated with the use of company owned vehicles will be the prevailing standard rate as established by the Internal Revenue Service (IRS) through its Revenue Procedures.  Reimbursement for mileage associated with the use of a </w:t>
      </w:r>
      <w:r w:rsidR="008B34EE" w:rsidRPr="00B23D37">
        <w:t>privately-owned</w:t>
      </w:r>
      <w:r w:rsidRPr="00B23D37">
        <w:t xml:space="preserve"> vehicle (POV), is limited to the lesser of: </w:t>
      </w:r>
    </w:p>
    <w:p w14:paraId="26BDE7F2" w14:textId="2417C9E0" w:rsidR="00B03661" w:rsidRPr="00B23D37" w:rsidRDefault="00B03661" w:rsidP="00AD0124">
      <w:pPr>
        <w:pStyle w:val="Heading5"/>
      </w:pPr>
      <w:r w:rsidRPr="00B23D37">
        <w:t>The mileage rate that the Consultant reimbursed to the person who submitted the claim for POV use</w:t>
      </w:r>
      <w:r w:rsidR="00FD46AC" w:rsidRPr="00B23D37">
        <w:t>;</w:t>
      </w:r>
      <w:r w:rsidRPr="00B23D37">
        <w:t xml:space="preserve"> or</w:t>
      </w:r>
    </w:p>
    <w:p w14:paraId="5E77EC34" w14:textId="3FA86C8B" w:rsidR="00B03661" w:rsidRPr="00B23D37" w:rsidRDefault="00B03661" w:rsidP="00AD0124">
      <w:pPr>
        <w:pStyle w:val="Heading5"/>
      </w:pPr>
      <w:r w:rsidRPr="00B23D37">
        <w:t>The prevailing standard rate as established by the IRS.</w:t>
      </w:r>
    </w:p>
    <w:p w14:paraId="29F22344" w14:textId="390371D8" w:rsidR="00223D8E" w:rsidRPr="00B23D37" w:rsidRDefault="00A709DF" w:rsidP="00AD0124">
      <w:pPr>
        <w:spacing w:before="120" w:line="360" w:lineRule="auto"/>
        <w:ind w:left="1800"/>
        <w:rPr>
          <w:rFonts w:cs="Arial"/>
          <w:szCs w:val="22"/>
        </w:rPr>
      </w:pPr>
      <w:r>
        <w:rPr>
          <w:rFonts w:cs="Arial"/>
          <w:snapToGrid w:val="0"/>
          <w:szCs w:val="22"/>
        </w:rPr>
        <w:t>NOTE</w:t>
      </w:r>
      <w:r w:rsidR="006C2284">
        <w:rPr>
          <w:rFonts w:cs="Arial"/>
          <w:snapToGrid w:val="0"/>
          <w:szCs w:val="22"/>
        </w:rPr>
        <w:t xml:space="preserve">: </w:t>
      </w:r>
      <w:r w:rsidR="00125FDA" w:rsidRPr="00B23D37">
        <w:rPr>
          <w:rFonts w:cs="Arial"/>
          <w:snapToGrid w:val="0"/>
          <w:szCs w:val="22"/>
        </w:rPr>
        <w:t xml:space="preserve">When Consultant is seeking only reimbursement for mileage, </w:t>
      </w:r>
      <w:r w:rsidR="00223D8E" w:rsidRPr="00B23D37">
        <w:rPr>
          <w:szCs w:val="22"/>
        </w:rPr>
        <w:t>Consultant must</w:t>
      </w:r>
      <w:r w:rsidR="00C21C1E" w:rsidRPr="00B23D37">
        <w:rPr>
          <w:szCs w:val="22"/>
        </w:rPr>
        <w:t xml:space="preserve"> </w:t>
      </w:r>
      <w:r w:rsidR="00125FDA" w:rsidRPr="00B23D37">
        <w:rPr>
          <w:rFonts w:cs="Arial"/>
          <w:snapToGrid w:val="0"/>
          <w:szCs w:val="22"/>
        </w:rPr>
        <w:t xml:space="preserve">itemize travel on </w:t>
      </w:r>
      <w:r w:rsidR="00075693">
        <w:rPr>
          <w:rFonts w:cs="Arial"/>
          <w:snapToGrid w:val="0"/>
          <w:szCs w:val="22"/>
        </w:rPr>
        <w:t>State</w:t>
      </w:r>
      <w:r w:rsidR="00125FDA" w:rsidRPr="00B23D37">
        <w:rPr>
          <w:rFonts w:cs="Arial"/>
          <w:snapToGrid w:val="0"/>
          <w:szCs w:val="22"/>
        </w:rPr>
        <w:t xml:space="preserve">’s Travel </w:t>
      </w:r>
      <w:r w:rsidR="009C21B3">
        <w:rPr>
          <w:rFonts w:cs="Arial"/>
          <w:snapToGrid w:val="0"/>
          <w:szCs w:val="22"/>
        </w:rPr>
        <w:t>L</w:t>
      </w:r>
      <w:r w:rsidR="009C21B3" w:rsidRPr="00B23D37">
        <w:rPr>
          <w:rFonts w:cs="Arial"/>
          <w:snapToGrid w:val="0"/>
          <w:szCs w:val="22"/>
        </w:rPr>
        <w:t xml:space="preserve">og, </w:t>
      </w:r>
      <w:r w:rsidR="009C21B3">
        <w:rPr>
          <w:rFonts w:cs="Arial"/>
          <w:snapToGrid w:val="0"/>
          <w:szCs w:val="22"/>
        </w:rPr>
        <w:t xml:space="preserve">itemize on invoice, </w:t>
      </w:r>
      <w:r w:rsidR="009C21B3" w:rsidRPr="00B23D37">
        <w:rPr>
          <w:rFonts w:cs="Arial"/>
          <w:snapToGrid w:val="0"/>
          <w:szCs w:val="22"/>
        </w:rPr>
        <w:t xml:space="preserve">or </w:t>
      </w:r>
      <w:r w:rsidR="00223D8E" w:rsidRPr="00B23D37">
        <w:rPr>
          <w:szCs w:val="22"/>
        </w:rPr>
        <w:t xml:space="preserve">include a </w:t>
      </w:r>
      <w:r w:rsidR="00C21C1E" w:rsidRPr="00B23D37">
        <w:rPr>
          <w:szCs w:val="22"/>
        </w:rPr>
        <w:t xml:space="preserve">separate </w:t>
      </w:r>
      <w:r w:rsidR="00125FDA" w:rsidRPr="00B23D37">
        <w:rPr>
          <w:rFonts w:cs="Arial"/>
          <w:snapToGrid w:val="0"/>
          <w:szCs w:val="22"/>
        </w:rPr>
        <w:t>mileage log which includes</w:t>
      </w:r>
      <w:r w:rsidR="00223D8E" w:rsidRPr="00B23D37">
        <w:rPr>
          <w:szCs w:val="22"/>
        </w:rPr>
        <w:t xml:space="preserve"> </w:t>
      </w:r>
      <w:r w:rsidR="00223D8E" w:rsidRPr="00A709DF">
        <w:rPr>
          <w:szCs w:val="22"/>
        </w:rPr>
        <w:t>the following</w:t>
      </w:r>
      <w:r w:rsidR="001D6720">
        <w:rPr>
          <w:szCs w:val="22"/>
        </w:rPr>
        <w:t xml:space="preserve"> information</w:t>
      </w:r>
      <w:r w:rsidR="00223D8E" w:rsidRPr="00A709DF">
        <w:rPr>
          <w:szCs w:val="22"/>
        </w:rPr>
        <w:t xml:space="preserve">: </w:t>
      </w:r>
      <w:r w:rsidR="00A47BDD" w:rsidRPr="00A709DF">
        <w:rPr>
          <w:szCs w:val="22"/>
        </w:rPr>
        <w:t>e</w:t>
      </w:r>
      <w:r w:rsidR="00223D8E" w:rsidRPr="00A709DF">
        <w:rPr>
          <w:szCs w:val="22"/>
        </w:rPr>
        <w:t>mployee name, date of travel and miles driven, reimbursement rate and total expenses.</w:t>
      </w:r>
      <w:r w:rsidR="000F7B39" w:rsidRPr="00A709DF">
        <w:rPr>
          <w:szCs w:val="22"/>
        </w:rPr>
        <w:t xml:space="preserve">  The total expenses are to be shown on the invoice as a direct expense.</w:t>
      </w:r>
      <w:r w:rsidR="00D128AE">
        <w:rPr>
          <w:szCs w:val="22"/>
        </w:rPr>
        <w:t xml:space="preserve">  </w:t>
      </w:r>
      <w:r w:rsidR="00075693">
        <w:rPr>
          <w:szCs w:val="22"/>
        </w:rPr>
        <w:t>State</w:t>
      </w:r>
      <w:r w:rsidR="00D128AE">
        <w:rPr>
          <w:rFonts w:cs="Arial"/>
          <w:snapToGrid w:val="0"/>
          <w:szCs w:val="22"/>
        </w:rPr>
        <w:t>’s Travel log</w:t>
      </w:r>
      <w:r w:rsidR="00D128AE" w:rsidRPr="00B23D37">
        <w:rPr>
          <w:rFonts w:cs="Arial"/>
          <w:snapToGrid w:val="0"/>
          <w:szCs w:val="22"/>
        </w:rPr>
        <w:t xml:space="preserve"> form is available on the State’s website at </w:t>
      </w:r>
      <w:hyperlink r:id="rId9" w:history="1">
        <w:r w:rsidR="00E04633">
          <w:rPr>
            <w:rStyle w:val="Hyperlink"/>
            <w:rFonts w:cs="Arial"/>
            <w:snapToGrid w:val="0"/>
            <w:szCs w:val="22"/>
          </w:rPr>
          <w:t>https://dot.nebraska.gov/business-center/consultant/manuals-forms/</w:t>
        </w:r>
      </w:hyperlink>
      <w:r w:rsidR="00D128AE" w:rsidRPr="00B23D37">
        <w:rPr>
          <w:rFonts w:cs="Arial"/>
          <w:snapToGrid w:val="0"/>
          <w:szCs w:val="22"/>
        </w:rPr>
        <w:t xml:space="preserve">.  </w:t>
      </w:r>
    </w:p>
    <w:p w14:paraId="50B3C388" w14:textId="25601623" w:rsidR="00613C4D" w:rsidRPr="00B23D37" w:rsidRDefault="00B03661" w:rsidP="00AD0124">
      <w:pPr>
        <w:pStyle w:val="Heading4"/>
      </w:pPr>
      <w:r w:rsidRPr="00B23D37">
        <w:t>LODGING – The reimbursement for lodging rates will be limited to the prevailing standard rate as indicated on the U.S. General Services Administration’s (GSA) website at</w:t>
      </w:r>
      <w:r w:rsidR="001C00F8" w:rsidRPr="00B23D37">
        <w:t xml:space="preserve"> </w:t>
      </w:r>
      <w:hyperlink r:id="rId10" w:history="1">
        <w:r w:rsidR="002B5F01">
          <w:rPr>
            <w:rStyle w:val="Hyperlink"/>
            <w:szCs w:val="22"/>
          </w:rPr>
          <w:t>https://www.gsa.gov/travel/plan-book/per-diem-rates</w:t>
        </w:r>
      </w:hyperlink>
      <w:r w:rsidRPr="00B23D37">
        <w:t xml:space="preserve">.  </w:t>
      </w:r>
      <w:r w:rsidRPr="00B23D37">
        <w:rPr>
          <w:snapToGrid w:val="0"/>
        </w:rPr>
        <w:t xml:space="preserve">Consultant shall give State the benefit of all lodging discounts.  </w:t>
      </w:r>
      <w:r w:rsidR="001D6720">
        <w:rPr>
          <w:snapToGrid w:val="0"/>
        </w:rPr>
        <w:t>Lodging r</w:t>
      </w:r>
      <w:r w:rsidRPr="00B23D37">
        <w:t>eceipts must be submitted with invoices.</w:t>
      </w:r>
    </w:p>
    <w:p w14:paraId="39D537C8" w14:textId="29B0946A" w:rsidR="00AD0124" w:rsidRPr="00F6761B" w:rsidRDefault="00AD0124" w:rsidP="00AD0124">
      <w:pPr>
        <w:pStyle w:val="Heading3"/>
      </w:pPr>
      <w:r w:rsidRPr="00B23D37">
        <w:t>M</w:t>
      </w:r>
      <w:r>
        <w:t>eal</w:t>
      </w:r>
      <w:r w:rsidRPr="00F6761B">
        <w:t xml:space="preserve"> </w:t>
      </w:r>
      <w:r>
        <w:t xml:space="preserve">and incidental (M&amp;I) </w:t>
      </w:r>
      <w:r w:rsidRPr="00F6761B">
        <w:t>expenses will be reimbursed on a per diem basis</w:t>
      </w:r>
      <w:r>
        <w:t>, not to exceed the rates</w:t>
      </w:r>
      <w:r w:rsidRPr="00F6761B">
        <w:t xml:space="preserve"> as s</w:t>
      </w:r>
      <w:r>
        <w:t>hown</w:t>
      </w:r>
      <w:r w:rsidRPr="00F6761B">
        <w:t xml:space="preserve"> below.</w:t>
      </w:r>
      <w:r w:rsidRPr="00026DB8">
        <w:t xml:space="preserve"> The incidental expenses portion of the per diem rate </w:t>
      </w:r>
      <w:r>
        <w:t>includes, but is not limited to,</w:t>
      </w:r>
      <w:r w:rsidRPr="00026DB8">
        <w:t xml:space="preserve"> courtesy transportation related tips, such as hotel, park and ride, or airport shuttles; and fees and tips to porters, hotel employees, baggage carriers, and flight attendants.</w:t>
      </w:r>
      <w:r w:rsidR="00783E32" w:rsidRPr="00783E32">
        <w:t xml:space="preserve"> </w:t>
      </w:r>
      <w:r w:rsidR="00783E32">
        <w:t xml:space="preserve"> No receipts are required for M&amp;I expenses.</w:t>
      </w:r>
    </w:p>
    <w:p w14:paraId="43C9BECF" w14:textId="77777777" w:rsidR="00AD0124" w:rsidRPr="00E8415F" w:rsidRDefault="00AD0124" w:rsidP="00AD0124">
      <w:pPr>
        <w:pStyle w:val="Heading4"/>
      </w:pPr>
      <w:r w:rsidRPr="00F6761B">
        <w:t xml:space="preserve">The </w:t>
      </w:r>
      <w:r>
        <w:t>State per diem rate for the destination of travel is</w:t>
      </w:r>
      <w:r w:rsidRPr="00F6761B">
        <w:t xml:space="preserve"> 70% of </w:t>
      </w:r>
      <w:r>
        <w:t>the applicable</w:t>
      </w:r>
      <w:r w:rsidRPr="00F6761B">
        <w:t xml:space="preserve"> </w:t>
      </w:r>
      <w:r>
        <w:t>F</w:t>
      </w:r>
      <w:r w:rsidRPr="00F6761B">
        <w:t xml:space="preserve">ederal GSA </w:t>
      </w:r>
      <w:r>
        <w:t xml:space="preserve">per diem </w:t>
      </w:r>
      <w:r w:rsidRPr="00F6761B">
        <w:t>rate</w:t>
      </w:r>
      <w:r>
        <w:t xml:space="preserve">.  The State per diem breakdown amounts for breakfast, lunch, dinner, and incidental expenses are </w:t>
      </w:r>
      <w:r>
        <w:rPr>
          <w:snapToGrid w:val="0"/>
        </w:rPr>
        <w:t>70% of the Federal GSA per diem breakdown amounts.</w:t>
      </w:r>
    </w:p>
    <w:p w14:paraId="2DA9EC28" w14:textId="77777777" w:rsidR="00AD0124" w:rsidRPr="00254DCB" w:rsidRDefault="00AD0124" w:rsidP="00AD0124">
      <w:pPr>
        <w:pStyle w:val="Heading4"/>
      </w:pPr>
      <w:r>
        <w:t>The State per diem rate shall be reduced by the State meal breakdown amount(s) for a</w:t>
      </w:r>
      <w:r w:rsidRPr="00E54A67">
        <w:t xml:space="preserve">ny meal provided </w:t>
      </w:r>
      <w:r>
        <w:t>by others</w:t>
      </w:r>
      <w:r w:rsidRPr="00254DCB">
        <w:t xml:space="preserve">. </w:t>
      </w:r>
      <w:r>
        <w:t xml:space="preserve"> </w:t>
      </w:r>
      <w:r w:rsidRPr="00254DCB">
        <w:t>Examples include:</w:t>
      </w:r>
    </w:p>
    <w:p w14:paraId="6AD59604" w14:textId="77777777" w:rsidR="00AD0124" w:rsidRPr="00254DCB" w:rsidRDefault="00AD0124" w:rsidP="00AD0124">
      <w:pPr>
        <w:pStyle w:val="Heading5"/>
      </w:pPr>
      <w:r w:rsidRPr="00A95C92">
        <w:t>Meals</w:t>
      </w:r>
      <w:r w:rsidRPr="00254DCB">
        <w:t xml:space="preserve"> included in a conference or event fee</w:t>
      </w:r>
    </w:p>
    <w:p w14:paraId="1EE90F57" w14:textId="77777777" w:rsidR="00AD0124" w:rsidRPr="00254DCB" w:rsidRDefault="00AD0124" w:rsidP="00AD0124">
      <w:pPr>
        <w:pStyle w:val="Heading5"/>
      </w:pPr>
      <w:r w:rsidRPr="00254DCB">
        <w:t>Meals provided by lodging facility</w:t>
      </w:r>
    </w:p>
    <w:p w14:paraId="6DFE480E" w14:textId="77777777" w:rsidR="00AD0124" w:rsidRPr="00254DCB" w:rsidRDefault="00AD0124" w:rsidP="00AD0124">
      <w:pPr>
        <w:pStyle w:val="Heading5"/>
      </w:pPr>
      <w:r w:rsidRPr="00254DCB">
        <w:t>Meals purchased by 3rd Party</w:t>
      </w:r>
    </w:p>
    <w:p w14:paraId="4F1F3DEA" w14:textId="77777777" w:rsidR="00AD0124" w:rsidRDefault="00AD0124" w:rsidP="00AD0124">
      <w:pPr>
        <w:pStyle w:val="Heading5"/>
      </w:pPr>
      <w:r w:rsidRPr="00254DCB">
        <w:t>Meals charged directly to and paid for by the State</w:t>
      </w:r>
    </w:p>
    <w:p w14:paraId="7C972B85" w14:textId="500CE60C" w:rsidR="00AD0124" w:rsidRPr="00E54A67" w:rsidRDefault="00AD0124" w:rsidP="00AD0124">
      <w:pPr>
        <w:pStyle w:val="Heading4"/>
      </w:pPr>
      <w:r>
        <w:t xml:space="preserve">MULTI-DAY TRAVEL – </w:t>
      </w:r>
      <w:r w:rsidRPr="00E54A67">
        <w:t>Travel that includes at least one overnight stay.</w:t>
      </w:r>
    </w:p>
    <w:p w14:paraId="5CEC0CDA" w14:textId="55F8DFC1" w:rsidR="00AD0124" w:rsidRPr="00E54A67" w:rsidRDefault="00AD0124" w:rsidP="00AD0124">
      <w:pPr>
        <w:pStyle w:val="Heading5"/>
      </w:pPr>
      <w:r>
        <w:t>M&amp;I reimbursement on the first and last day of travel will be reduced to 75% of the State per diem rate</w:t>
      </w:r>
      <w:r w:rsidRPr="00E54A67">
        <w:t>.</w:t>
      </w:r>
    </w:p>
    <w:p w14:paraId="66B5E6A7" w14:textId="77777777" w:rsidR="00AD0124" w:rsidRPr="00DD1951" w:rsidRDefault="00AD0124" w:rsidP="00AD0124">
      <w:pPr>
        <w:pStyle w:val="Heading5"/>
      </w:pPr>
      <w:r>
        <w:t>Except for</w:t>
      </w:r>
      <w:r w:rsidRPr="00254DCB">
        <w:t xml:space="preserve"> a meal provided </w:t>
      </w:r>
      <w:r>
        <w:t>by others (see 4)(b) above)</w:t>
      </w:r>
      <w:r w:rsidRPr="00254DCB">
        <w:t xml:space="preserve">, </w:t>
      </w:r>
      <w:r>
        <w:t>a</w:t>
      </w:r>
      <w:r w:rsidRPr="00254DCB">
        <w:t xml:space="preserve">ll meals </w:t>
      </w:r>
      <w:r>
        <w:t>may</w:t>
      </w:r>
      <w:r w:rsidRPr="00254DCB">
        <w:t xml:space="preserve"> be </w:t>
      </w:r>
      <w:r w:rsidRPr="00DD1951">
        <w:t>claimed on the first and last day of travel irrespective of the start and stop times for those days.</w:t>
      </w:r>
    </w:p>
    <w:p w14:paraId="6B5E7E3D" w14:textId="77777777" w:rsidR="00AD0124" w:rsidRPr="00B93AF1" w:rsidRDefault="00AD0124" w:rsidP="00AD0124">
      <w:pPr>
        <w:pStyle w:val="Heading4"/>
      </w:pPr>
      <w:r w:rsidRPr="00B93AF1">
        <w:t>SAME DAY TRAVEL – Travel that does not include an overnight stay.</w:t>
      </w:r>
    </w:p>
    <w:p w14:paraId="231DE7BE" w14:textId="77777777" w:rsidR="00AD0124" w:rsidRPr="00B93AF1" w:rsidRDefault="00AD0124" w:rsidP="00AD0124">
      <w:pPr>
        <w:pStyle w:val="Heading5"/>
        <w:keepNext w:val="0"/>
        <w:ind w:left="2246"/>
      </w:pPr>
      <w:r w:rsidRPr="00B93AF1">
        <w:t xml:space="preserve">Employee shall not claim reimbursement for a meal that was purchased </w:t>
      </w:r>
      <w:r>
        <w:t>with</w:t>
      </w:r>
      <w:r w:rsidRPr="00B93AF1">
        <w:t xml:space="preserve">in </w:t>
      </w:r>
      <w:r>
        <w:t xml:space="preserve">20 miles of </w:t>
      </w:r>
      <w:r w:rsidRPr="00B93AF1">
        <w:t>the city or town of the employee’s residence or primary work location.</w:t>
      </w:r>
    </w:p>
    <w:p w14:paraId="4D5027FC" w14:textId="77777777" w:rsidR="00AD0124" w:rsidRDefault="00AD0124" w:rsidP="00AD0124">
      <w:pPr>
        <w:pStyle w:val="Heading5"/>
        <w:keepNext w:val="0"/>
        <w:ind w:left="2246"/>
      </w:pPr>
      <w:r w:rsidRPr="00B93AF1">
        <w:t>M</w:t>
      </w:r>
      <w:r>
        <w:t>&amp;I</w:t>
      </w:r>
      <w:r w:rsidRPr="00B93AF1">
        <w:t xml:space="preserve"> reimbursement for same day travel will be reduced to 75% of the</w:t>
      </w:r>
      <w:r>
        <w:t xml:space="preserve"> State per diem breakdown amounts</w:t>
      </w:r>
      <w:r w:rsidRPr="00E54A67">
        <w:t>.</w:t>
      </w:r>
    </w:p>
    <w:p w14:paraId="5A651360" w14:textId="77777777" w:rsidR="00AD0124" w:rsidRPr="00B23D37" w:rsidRDefault="00AD0124" w:rsidP="00AD0124">
      <w:pPr>
        <w:pStyle w:val="Heading5"/>
        <w:keepNext w:val="0"/>
        <w:ind w:left="2246"/>
      </w:pPr>
      <w:r w:rsidRPr="00E54A67">
        <w:t>The following criteria</w:t>
      </w:r>
      <w:r>
        <w:t xml:space="preserve"> must be met f</w:t>
      </w:r>
      <w:r w:rsidRPr="00B23D37">
        <w:t xml:space="preserve">or Consultant and its employees to be eligible for the </w:t>
      </w:r>
      <w:r>
        <w:t>M&amp;I reimbursement on same day travel</w:t>
      </w:r>
      <w:r w:rsidRPr="00B23D37">
        <w:t>.</w:t>
      </w:r>
    </w:p>
    <w:p w14:paraId="72A535EB" w14:textId="168CDF28" w:rsidR="00AD0124" w:rsidRPr="002A10BE" w:rsidRDefault="00AD0124" w:rsidP="00AD0124">
      <w:pPr>
        <w:pStyle w:val="Heading6"/>
        <w:keepNext w:val="0"/>
        <w:ind w:left="2606"/>
      </w:pPr>
      <w:r w:rsidRPr="002A10BE">
        <w:rPr>
          <w:u w:val="single"/>
        </w:rPr>
        <w:t>Breakfast</w:t>
      </w:r>
      <w:r>
        <w:t xml:space="preserve"> - </w:t>
      </w:r>
      <w:r w:rsidRPr="002A10BE">
        <w:t xml:space="preserve">Employee </w:t>
      </w:r>
      <w:r>
        <w:t>leaves</w:t>
      </w:r>
      <w:r w:rsidRPr="002A10BE">
        <w:t xml:space="preserve"> </w:t>
      </w:r>
      <w:r>
        <w:t xml:space="preserve">for same day travel </w:t>
      </w:r>
      <w:r w:rsidRPr="002A10BE">
        <w:t>at or before 6:30 a.m. or 1</w:t>
      </w:r>
      <w:r>
        <w:noBreakHyphen/>
      </w:r>
      <w:r w:rsidRPr="002A10BE">
        <w:t xml:space="preserve">1/2 hours before the employee’s shift begins, whichever is earlier, the breakfast rate may be </w:t>
      </w:r>
      <w:r>
        <w:t>claimed</w:t>
      </w:r>
      <w:r w:rsidRPr="002A10BE">
        <w:t>.</w:t>
      </w:r>
    </w:p>
    <w:p w14:paraId="471275BA" w14:textId="77777777" w:rsidR="00AD0124" w:rsidRPr="002A10BE" w:rsidRDefault="00AD0124" w:rsidP="00AD0124">
      <w:pPr>
        <w:pStyle w:val="Heading6"/>
        <w:keepNext w:val="0"/>
        <w:spacing w:before="120"/>
        <w:ind w:left="2606"/>
      </w:pPr>
      <w:r w:rsidRPr="002A10BE">
        <w:rPr>
          <w:u w:val="single"/>
        </w:rPr>
        <w:t>Lunch</w:t>
      </w:r>
      <w:r>
        <w:t xml:space="preserve"> – </w:t>
      </w:r>
      <w:r w:rsidRPr="002A10BE">
        <w:t>No reimbursement is allowed.</w:t>
      </w:r>
    </w:p>
    <w:p w14:paraId="2A3B3611" w14:textId="4D0924D4" w:rsidR="00AD0124" w:rsidRDefault="00AD0124" w:rsidP="00AD0124">
      <w:pPr>
        <w:pStyle w:val="Heading6"/>
        <w:keepNext w:val="0"/>
        <w:spacing w:before="120" w:after="120"/>
        <w:ind w:left="2606"/>
      </w:pPr>
      <w:r w:rsidRPr="00C41656">
        <w:rPr>
          <w:u w:val="single"/>
        </w:rPr>
        <w:t>Dinner</w:t>
      </w:r>
      <w:r>
        <w:rPr>
          <w:u w:val="single"/>
        </w:rPr>
        <w:t>/Supper</w:t>
      </w:r>
      <w:r w:rsidRPr="002A10BE">
        <w:t xml:space="preserve"> – </w:t>
      </w:r>
      <w:r w:rsidRPr="00B23D37">
        <w:t xml:space="preserve">Employee returns from </w:t>
      </w:r>
      <w:r>
        <w:t>same day</w:t>
      </w:r>
      <w:r w:rsidRPr="00B23D37">
        <w:t xml:space="preserve"> travel or work location at or after 7:00 p.m.</w:t>
      </w:r>
      <w:r>
        <w:t>, or 2 hours after the employee’s shift ends, whichever is later, the evening meal rate may be claimed.</w:t>
      </w:r>
    </w:p>
    <w:p w14:paraId="5DD7F0A8" w14:textId="722DF1AB" w:rsidR="00AD0124" w:rsidRDefault="00AD0124" w:rsidP="00AD0124">
      <w:pPr>
        <w:pStyle w:val="Heading6"/>
        <w:keepNext w:val="0"/>
        <w:ind w:left="2606"/>
      </w:pPr>
      <w:r w:rsidRPr="009D353F">
        <w:rPr>
          <w:u w:val="single"/>
        </w:rPr>
        <w:t>Incidental Expenses</w:t>
      </w:r>
      <w:r>
        <w:t xml:space="preserve"> – No reimbursement is allowed</w:t>
      </w:r>
      <w:r w:rsidRPr="009D353F">
        <w:t xml:space="preserve"> unless the employee is </w:t>
      </w:r>
      <w:r>
        <w:t xml:space="preserve">also </w:t>
      </w:r>
      <w:r w:rsidRPr="009D353F">
        <w:t xml:space="preserve">approved for </w:t>
      </w:r>
      <w:r>
        <w:t>breakfast or dinner</w:t>
      </w:r>
      <w:r w:rsidRPr="009D353F">
        <w:t xml:space="preserve"> meal expenses.</w:t>
      </w:r>
    </w:p>
    <w:p w14:paraId="40383BE4" w14:textId="3E4B0CF3" w:rsidR="00AD0124" w:rsidRDefault="00AD0124" w:rsidP="00AD0124">
      <w:pPr>
        <w:pStyle w:val="Heading6"/>
        <w:keepNext w:val="0"/>
        <w:spacing w:before="120" w:after="120" w:line="240" w:lineRule="auto"/>
        <w:ind w:left="2606"/>
      </w:pPr>
      <w:r w:rsidRPr="002A10BE">
        <w:t xml:space="preserve">The time limitations set forth </w:t>
      </w:r>
      <w:r>
        <w:t xml:space="preserve">above </w:t>
      </w:r>
      <w:r w:rsidRPr="002A10BE">
        <w:t xml:space="preserve">do not include the time taken for the meal. </w:t>
      </w:r>
      <w:r>
        <w:t xml:space="preserve"> </w:t>
      </w:r>
    </w:p>
    <w:p w14:paraId="0E33EEF7" w14:textId="77777777" w:rsidR="003866E9" w:rsidRPr="00A13A40" w:rsidRDefault="003866E9" w:rsidP="003866E9">
      <w:pPr>
        <w:pStyle w:val="Heading5"/>
      </w:pPr>
      <w:r w:rsidRPr="00A13A40">
        <w:rPr>
          <w:u w:val="single"/>
        </w:rPr>
        <w:t>EXCEPTION to same-day travel meal reimbursement for Construction Engineering (CE) Services Agreements</w:t>
      </w:r>
      <w:r w:rsidRPr="00A13A40">
        <w:t xml:space="preserve"> – For CE Services Agreements, Consultant will not be eligible for reimbursement for meals related to same-day travel.  </w:t>
      </w:r>
    </w:p>
    <w:p w14:paraId="603C8E82" w14:textId="77777777" w:rsidR="003866E9" w:rsidRPr="003866E9" w:rsidRDefault="003866E9" w:rsidP="003866E9"/>
    <w:p w14:paraId="3915D9E7" w14:textId="77777777" w:rsidR="0061445A" w:rsidRDefault="0061445A" w:rsidP="00F43B0B">
      <w:pPr>
        <w:pStyle w:val="Heading3"/>
        <w:keepNext/>
      </w:pPr>
      <w:r>
        <w:t xml:space="preserve">EXTENDED STAY/LONG TERM TRAVEL  </w:t>
      </w:r>
    </w:p>
    <w:p w14:paraId="12FD62B5" w14:textId="60D1D03C" w:rsidR="00031DF2" w:rsidRDefault="00031DF2" w:rsidP="00F43B0B">
      <w:pPr>
        <w:pStyle w:val="Heading3"/>
        <w:keepNext/>
        <w:numPr>
          <w:ilvl w:val="0"/>
          <w:numId w:val="0"/>
        </w:numPr>
        <w:ind w:left="1296"/>
      </w:pPr>
      <w:r>
        <w:rPr>
          <w:highlight w:val="lightGray"/>
        </w:rPr>
        <w:t>USE WHEN THERE IS NO</w:t>
      </w:r>
      <w:r w:rsidR="00C95506" w:rsidRPr="00E5103E">
        <w:rPr>
          <w:highlight w:val="lightGray"/>
        </w:rPr>
        <w:t xml:space="preserve"> </w:t>
      </w:r>
      <w:r w:rsidRPr="00E5103E">
        <w:rPr>
          <w:highlight w:val="lightGray"/>
        </w:rPr>
        <w:t>EXTEND</w:t>
      </w:r>
      <w:r>
        <w:rPr>
          <w:highlight w:val="lightGray"/>
        </w:rPr>
        <w:t xml:space="preserve">ED STAY </w:t>
      </w:r>
      <w:r w:rsidR="00D43567">
        <w:rPr>
          <w:highlight w:val="lightGray"/>
        </w:rPr>
        <w:t>ARRANGEMENTS</w:t>
      </w:r>
      <w:r>
        <w:rPr>
          <w:highlight w:val="lightGray"/>
        </w:rPr>
        <w:t xml:space="preserve"> (</w:t>
      </w:r>
      <w:r w:rsidR="008B34EE">
        <w:rPr>
          <w:highlight w:val="lightGray"/>
        </w:rPr>
        <w:t>APARTMENTS</w:t>
      </w:r>
      <w:r w:rsidR="008B34EE" w:rsidRPr="00E5103E">
        <w:rPr>
          <w:highlight w:val="lightGray"/>
        </w:rPr>
        <w:t xml:space="preserve">) </w:t>
      </w:r>
      <w:r w:rsidR="008B34EE" w:rsidRPr="00CC599F">
        <w:t xml:space="preserve"> </w:t>
      </w:r>
      <w:r>
        <w:t>No extended stay arrangements, such as apartments</w:t>
      </w:r>
      <w:r w:rsidR="0061445A">
        <w:t xml:space="preserve"> or weekly/monthly meal reimbursement rates</w:t>
      </w:r>
      <w:r>
        <w:t>, have been approved.</w:t>
      </w:r>
      <w:r w:rsidR="00502D23" w:rsidRPr="00502D23">
        <w:t xml:space="preserve"> </w:t>
      </w:r>
      <w:r w:rsidR="00D43567">
        <w:rPr>
          <w:highlight w:val="lightGray"/>
        </w:rPr>
        <w:t xml:space="preserve">END </w:t>
      </w:r>
      <w:r>
        <w:rPr>
          <w:highlight w:val="lightGray"/>
        </w:rPr>
        <w:t>NO</w:t>
      </w:r>
      <w:r w:rsidRPr="00E5103E">
        <w:rPr>
          <w:highlight w:val="lightGray"/>
        </w:rPr>
        <w:t xml:space="preserve"> EXTEND</w:t>
      </w:r>
      <w:r>
        <w:rPr>
          <w:highlight w:val="lightGray"/>
        </w:rPr>
        <w:t>ED STAY SITUATIONS</w:t>
      </w:r>
    </w:p>
    <w:p w14:paraId="6ED492D3" w14:textId="7E33EFDA" w:rsidR="00F907A4" w:rsidRPr="00D43567" w:rsidRDefault="00031DF2" w:rsidP="0061445A">
      <w:pPr>
        <w:spacing w:line="360" w:lineRule="auto"/>
        <w:ind w:left="1296"/>
      </w:pPr>
      <w:r w:rsidRPr="00031DF2">
        <w:rPr>
          <w:highlight w:val="lightGray"/>
        </w:rPr>
        <w:t>USE WHEN EXTENDED STAY ARRANGEMENTS ARE APPROVED</w:t>
      </w:r>
      <w:r>
        <w:t xml:space="preserve"> </w:t>
      </w:r>
      <w:r w:rsidR="00C95506">
        <w:t xml:space="preserve">Consultant is allowed to rent temporary housing in lieu of lodging </w:t>
      </w:r>
      <w:r w:rsidR="00C95506">
        <w:rPr>
          <w:snapToGrid w:val="0"/>
        </w:rPr>
        <w:t>near the project location (&lt;</w:t>
      </w:r>
      <w:r w:rsidR="00C95506" w:rsidRPr="00E5103E">
        <w:rPr>
          <w:snapToGrid w:val="0"/>
          <w:highlight w:val="yellow"/>
        </w:rPr>
        <w:t>location</w:t>
      </w:r>
      <w:r w:rsidR="00C95506" w:rsidRPr="00E5219E">
        <w:rPr>
          <w:snapToGrid w:val="0"/>
          <w:highlight w:val="yellow"/>
        </w:rPr>
        <w:t>. i.e. Omaha, NE</w:t>
      </w:r>
      <w:r w:rsidR="00C95506">
        <w:rPr>
          <w:snapToGrid w:val="0"/>
        </w:rPr>
        <w:t xml:space="preserve">&gt;) </w:t>
      </w:r>
      <w:r w:rsidR="00C95506">
        <w:t>for accommodating staff temporary assigned construction engineering duties associated with the performance of this Agreement.  Items such as alcohol and tobacco products are unallowable costs.  Items which are commonly provided by motels, hotels and restaurants would be eligible for reimbursement.  Consultant will be reimbursed up to $</w:t>
      </w:r>
      <w:r w:rsidR="00C95506" w:rsidRPr="00E5103E">
        <w:rPr>
          <w:highlight w:val="yellow"/>
        </w:rPr>
        <w:t>xxxxx</w:t>
      </w:r>
      <w:r w:rsidR="00C95506">
        <w:t xml:space="preserve"> per month, and associated deposit, for long-term living arrangements (i.e. fully furnished apartment with all utilities/services).  </w:t>
      </w:r>
      <w:r w:rsidR="008D7DDC">
        <w:t xml:space="preserve">Reimbursable costs include utilities/services if separate from rental fee.  Consultant shall submit lease documents, and, when applicable, utilities/services bill(s), with initial invoice showing actual lease cost, and, when applicable, utilities/services costs, to support the reimbursement amount.  </w:t>
      </w:r>
      <w:r w:rsidR="0061445A" w:rsidRPr="0061445A">
        <w:rPr>
          <w:highlight w:val="yellow"/>
        </w:rPr>
        <w:t>Need to add information for monthly meal reimbursement/</w:t>
      </w:r>
      <w:r w:rsidR="00C95506" w:rsidRPr="0061445A">
        <w:rPr>
          <w:highlight w:val="yellow"/>
        </w:rPr>
        <w:t>allowances.</w:t>
      </w:r>
      <w:r w:rsidR="00D43567" w:rsidRPr="00D43567">
        <w:rPr>
          <w:highlight w:val="lightGray"/>
        </w:rPr>
        <w:t xml:space="preserve"> </w:t>
      </w:r>
      <w:r w:rsidR="00D43567">
        <w:rPr>
          <w:highlight w:val="lightGray"/>
        </w:rPr>
        <w:t xml:space="preserve">END APPROVED </w:t>
      </w:r>
      <w:r w:rsidR="00D43567" w:rsidRPr="00031DF2">
        <w:rPr>
          <w:highlight w:val="lightGray"/>
        </w:rPr>
        <w:t>EXTENDED STAY ARRANGEMENTS</w:t>
      </w:r>
    </w:p>
    <w:p w14:paraId="0C7E10EF" w14:textId="2EE34328" w:rsidR="00DF05B1" w:rsidRPr="00B23D37" w:rsidRDefault="00DF05B1" w:rsidP="0061445A">
      <w:pPr>
        <w:pStyle w:val="Heading1"/>
      </w:pPr>
      <w:bookmarkStart w:id="7" w:name="_Hlk99354733"/>
      <w:bookmarkEnd w:id="4"/>
      <w:r w:rsidRPr="00B23D37">
        <w:t xml:space="preserve">INELIGIBLE </w:t>
      </w:r>
      <w:r w:rsidR="00B33761">
        <w:t xml:space="preserve">OR NON-ALLOWABLE </w:t>
      </w:r>
      <w:r w:rsidRPr="00B23D37">
        <w:t>COSTS</w:t>
      </w:r>
    </w:p>
    <w:p w14:paraId="5B5C6A2D" w14:textId="0B98C940" w:rsidR="00DF05B1" w:rsidRPr="00B23D37" w:rsidRDefault="00DF05B1" w:rsidP="0061445A">
      <w:pPr>
        <w:pStyle w:val="ListParagraph"/>
        <w:tabs>
          <w:tab w:val="left" w:pos="450"/>
        </w:tabs>
        <w:spacing w:after="120" w:line="360" w:lineRule="auto"/>
        <w:ind w:left="450" w:hanging="450"/>
        <w:contextualSpacing w:val="0"/>
        <w:jc w:val="left"/>
        <w:rPr>
          <w:rFonts w:ascii="Arial" w:hAnsi="Arial" w:cs="Arial"/>
          <w:sz w:val="22"/>
          <w:szCs w:val="22"/>
        </w:rPr>
      </w:pPr>
      <w:r w:rsidRPr="00B23D37">
        <w:rPr>
          <w:rFonts w:ascii="Arial" w:hAnsi="Arial" w:cs="Arial"/>
          <w:snapToGrid w:val="0"/>
          <w:sz w:val="22"/>
          <w:szCs w:val="22"/>
        </w:rPr>
        <w:tab/>
      </w:r>
      <w:r w:rsidRPr="00B23D37">
        <w:rPr>
          <w:rFonts w:ascii="Arial" w:hAnsi="Arial" w:cs="Arial"/>
          <w:sz w:val="22"/>
          <w:szCs w:val="22"/>
        </w:rPr>
        <w:t>State will not pay for costs incurred prior to the Notice</w:t>
      </w:r>
      <w:r w:rsidRPr="00B23D37">
        <w:rPr>
          <w:rFonts w:ascii="Arial" w:hAnsi="Arial" w:cs="Arial"/>
          <w:snapToGrid w:val="0"/>
          <w:sz w:val="22"/>
          <w:szCs w:val="22"/>
        </w:rPr>
        <w:t xml:space="preserve"> </w:t>
      </w:r>
      <w:r w:rsidRPr="00B23D37">
        <w:rPr>
          <w:rFonts w:ascii="Arial" w:hAnsi="Arial" w:cs="Arial"/>
          <w:sz w:val="22"/>
          <w:szCs w:val="22"/>
        </w:rPr>
        <w:t>to</w:t>
      </w:r>
      <w:r w:rsidRPr="00B23D37">
        <w:rPr>
          <w:rFonts w:ascii="Arial" w:hAnsi="Arial" w:cs="Arial"/>
          <w:snapToGrid w:val="0"/>
          <w:sz w:val="22"/>
          <w:szCs w:val="22"/>
        </w:rPr>
        <w:t xml:space="preserve"> </w:t>
      </w:r>
      <w:r w:rsidRPr="00B23D37">
        <w:rPr>
          <w:rFonts w:ascii="Arial" w:hAnsi="Arial" w:cs="Arial"/>
          <w:sz w:val="22"/>
          <w:szCs w:val="22"/>
        </w:rPr>
        <w:t xml:space="preserve">Proceed date or after the completion deadline date set out in the </w:t>
      </w:r>
      <w:r w:rsidRPr="00B23D37">
        <w:rPr>
          <w:rFonts w:ascii="Arial" w:hAnsi="Arial" w:cs="Arial"/>
          <w:sz w:val="22"/>
          <w:szCs w:val="22"/>
          <w:u w:val="single"/>
        </w:rPr>
        <w:t>NOTICE TO PROCEED AND COMPLETION SCHEDULE</w:t>
      </w:r>
      <w:r w:rsidRPr="00B23D37">
        <w:rPr>
          <w:rFonts w:ascii="Arial" w:hAnsi="Arial" w:cs="Arial"/>
          <w:snapToGrid w:val="0"/>
          <w:sz w:val="22"/>
          <w:szCs w:val="22"/>
        </w:rPr>
        <w:t xml:space="preserve"> Section of this Agreement</w:t>
      </w:r>
      <w:r w:rsidR="0061445A">
        <w:rPr>
          <w:rFonts w:ascii="Arial" w:hAnsi="Arial" w:cs="Arial"/>
          <w:snapToGrid w:val="0"/>
          <w:sz w:val="22"/>
          <w:szCs w:val="22"/>
        </w:rPr>
        <w:t>, unless</w:t>
      </w:r>
      <w:r w:rsidRPr="00B23D37">
        <w:rPr>
          <w:rFonts w:ascii="Arial" w:hAnsi="Arial" w:cs="Arial"/>
          <w:sz w:val="22"/>
          <w:szCs w:val="22"/>
        </w:rPr>
        <w:t xml:space="preserve"> </w:t>
      </w:r>
      <w:r w:rsidRPr="00B23D37">
        <w:rPr>
          <w:rFonts w:ascii="Arial" w:hAnsi="Arial" w:cs="Arial"/>
          <w:snapToGrid w:val="0"/>
          <w:sz w:val="22"/>
          <w:szCs w:val="22"/>
        </w:rPr>
        <w:t>approved in writing by State</w:t>
      </w:r>
      <w:r w:rsidRPr="00B23D37">
        <w:rPr>
          <w:rFonts w:ascii="Arial" w:hAnsi="Arial" w:cs="Arial"/>
          <w:sz w:val="22"/>
          <w:szCs w:val="22"/>
        </w:rPr>
        <w:t xml:space="preserve">.  </w:t>
      </w:r>
      <w:r w:rsidRPr="00207E48">
        <w:rPr>
          <w:rFonts w:ascii="Arial" w:hAnsi="Arial" w:cs="Arial"/>
          <w:sz w:val="22"/>
          <w:szCs w:val="22"/>
        </w:rPr>
        <w:t xml:space="preserve">Per Section </w:t>
      </w:r>
      <w:r w:rsidR="000124C9" w:rsidRPr="00207E48">
        <w:rPr>
          <w:rFonts w:ascii="Arial" w:hAnsi="Arial" w:cs="Arial"/>
          <w:sz w:val="22"/>
          <w:szCs w:val="22"/>
        </w:rPr>
        <w:t>4</w:t>
      </w:r>
      <w:r w:rsidRPr="00207E48">
        <w:rPr>
          <w:rFonts w:ascii="Arial" w:hAnsi="Arial" w:cs="Arial"/>
          <w:sz w:val="22"/>
          <w:szCs w:val="22"/>
        </w:rPr>
        <w:t xml:space="preserve">. ALLOWABLE COSTS, State will not pay for costs incurred, but not submitted to State within </w:t>
      </w:r>
      <w:r w:rsidR="00493780" w:rsidRPr="00207E48">
        <w:rPr>
          <w:rFonts w:ascii="Arial" w:hAnsi="Arial" w:cs="Arial"/>
          <w:sz w:val="22"/>
          <w:szCs w:val="22"/>
        </w:rPr>
        <w:t>180</w:t>
      </w:r>
      <w:r w:rsidRPr="00207E48">
        <w:rPr>
          <w:rFonts w:ascii="Arial" w:hAnsi="Arial" w:cs="Arial"/>
          <w:sz w:val="22"/>
          <w:szCs w:val="22"/>
        </w:rPr>
        <w:t xml:space="preserve"> days of the date incurred.  </w:t>
      </w:r>
      <w:r w:rsidR="00E37E1C" w:rsidRPr="00207E48">
        <w:rPr>
          <w:rFonts w:ascii="Arial" w:hAnsi="Arial" w:cs="Arial"/>
          <w:sz w:val="22"/>
          <w:szCs w:val="22"/>
        </w:rPr>
        <w:t>Travel costs are deemed to have been incurred on the day the travel occurs.  Subconsultant costs are deemed to have been incurred on the day the Subconsultant actually incurs the cost, not the day the subconsultant invoices the cost to the Consultant.</w:t>
      </w:r>
      <w:r w:rsidR="00E37E1C" w:rsidRPr="00E37E1C">
        <w:rPr>
          <w:rFonts w:ascii="Arial" w:hAnsi="Arial" w:cs="Arial"/>
          <w:b/>
          <w:bCs/>
          <w:sz w:val="22"/>
          <w:szCs w:val="22"/>
          <w:shd w:val="clear" w:color="auto" w:fill="FDE9D9" w:themeFill="accent6" w:themeFillTint="33"/>
        </w:rPr>
        <w:t xml:space="preserve"> </w:t>
      </w:r>
      <w:r w:rsidRPr="00BA4D25">
        <w:rPr>
          <w:rFonts w:ascii="Arial" w:hAnsi="Arial" w:cs="Arial"/>
          <w:b/>
          <w:bCs/>
          <w:sz w:val="22"/>
          <w:szCs w:val="22"/>
          <w:shd w:val="clear" w:color="auto" w:fill="FDE9D9" w:themeFill="accent6" w:themeFillTint="33"/>
        </w:rPr>
        <w:t xml:space="preserve"> </w:t>
      </w:r>
    </w:p>
    <w:bookmarkEnd w:id="7"/>
    <w:p w14:paraId="5C3CE271" w14:textId="4A306C4E" w:rsidR="0036595F" w:rsidRPr="0061445A" w:rsidRDefault="009F524B" w:rsidP="0061445A">
      <w:pPr>
        <w:pStyle w:val="Heading1"/>
        <w:rPr>
          <w:b w:val="0"/>
          <w:bCs/>
          <w:i/>
          <w:iCs/>
        </w:rPr>
      </w:pPr>
      <w:r w:rsidRPr="0061445A">
        <w:rPr>
          <w:b w:val="0"/>
          <w:bCs/>
          <w:i/>
          <w:iCs/>
        </w:rPr>
        <w:t>This section has intentionally been left blank.</w:t>
      </w:r>
    </w:p>
    <w:p w14:paraId="6920041C" w14:textId="2CE3EAE1" w:rsidR="00991A76" w:rsidRPr="00B23D37" w:rsidRDefault="00991A76" w:rsidP="0061445A">
      <w:pPr>
        <w:pStyle w:val="Heading1"/>
      </w:pPr>
      <w:r w:rsidRPr="00B23D37">
        <w:t>INVOICES AND PROGRESS REPORTS</w:t>
      </w:r>
    </w:p>
    <w:p w14:paraId="21E13BF8" w14:textId="260A313D" w:rsidR="001B6A02" w:rsidRPr="00B23D37" w:rsidRDefault="001D598F" w:rsidP="0061445A">
      <w:pPr>
        <w:pStyle w:val="Heading2"/>
      </w:pPr>
      <w:r w:rsidRPr="00B23D37">
        <w:t>Consultant shall promptly submit invoices to State</w:t>
      </w:r>
      <w:r w:rsidR="00B724DA" w:rsidRPr="00B23D37">
        <w:t xml:space="preserve"> based on Consultant’s billing </w:t>
      </w:r>
      <w:r w:rsidR="008B34EE" w:rsidRPr="00B23D37">
        <w:t>period but</w:t>
      </w:r>
      <w:r w:rsidRPr="00B23D37">
        <w:t xml:space="preserve"> </w:t>
      </w:r>
      <w:r w:rsidR="000A20D6" w:rsidRPr="00B23D37">
        <w:t xml:space="preserve">shall </w:t>
      </w:r>
      <w:r w:rsidRPr="00B23D37">
        <w:t>no</w:t>
      </w:r>
      <w:r w:rsidR="000A20D6" w:rsidRPr="00B23D37">
        <w:t>t submit</w:t>
      </w:r>
      <w:r w:rsidRPr="00B23D37">
        <w:t xml:space="preserve"> more than</w:t>
      </w:r>
      <w:r w:rsidR="000A20D6" w:rsidRPr="00B23D37">
        <w:t xml:space="preserve"> one invoice per</w:t>
      </w:r>
      <w:r w:rsidRPr="00B23D37">
        <w:t xml:space="preserve"> month.  </w:t>
      </w:r>
      <w:r w:rsidR="00953CEE">
        <w:t xml:space="preserve">Invoices must include all allowable costs for services provided during the billing period.  </w:t>
      </w:r>
      <w:r w:rsidR="0057191A" w:rsidRPr="00B23D37">
        <w:t xml:space="preserve">Invoices may also include </w:t>
      </w:r>
      <w:r w:rsidR="00FD6EBD" w:rsidRPr="00B23D37">
        <w:t xml:space="preserve">a request for services provided or costs incurred during a prior billing period, including subconsultant costs, with an explanation for why those costs were not previously included in an invoice, so long as </w:t>
      </w:r>
      <w:r w:rsidR="0057191A" w:rsidRPr="00B23D37">
        <w:t xml:space="preserve">those costs </w:t>
      </w:r>
      <w:r w:rsidR="00674610" w:rsidRPr="00B23D37">
        <w:t xml:space="preserve">were incurred </w:t>
      </w:r>
      <w:r w:rsidR="0057191A" w:rsidRPr="00B23D37">
        <w:t xml:space="preserve">no more than </w:t>
      </w:r>
      <w:r w:rsidR="00493780">
        <w:t>180</w:t>
      </w:r>
      <w:r w:rsidR="0057191A" w:rsidRPr="00B23D37">
        <w:t xml:space="preserve"> days prior </w:t>
      </w:r>
      <w:r w:rsidR="00921500" w:rsidRPr="00B23D37">
        <w:t xml:space="preserve">to </w:t>
      </w:r>
      <w:r w:rsidR="00F80A99" w:rsidRPr="00B23D37">
        <w:t>State’s receipt of the invoice</w:t>
      </w:r>
      <w:r w:rsidR="0057191A" w:rsidRPr="00B23D37">
        <w:t>.</w:t>
      </w:r>
      <w:r w:rsidR="00674610" w:rsidRPr="00B23D37">
        <w:t xml:space="preserve">  Accordingly, State </w:t>
      </w:r>
      <w:r w:rsidR="00FD6EBD" w:rsidRPr="00B23D37">
        <w:t>retains the sole discretion to</w:t>
      </w:r>
      <w:r w:rsidR="00674610" w:rsidRPr="00B23D37">
        <w:t xml:space="preserve"> not pay for costs </w:t>
      </w:r>
      <w:r w:rsidR="00FD6EBD" w:rsidRPr="00B23D37">
        <w:t xml:space="preserve">incurred that have not been invoiced </w:t>
      </w:r>
      <w:r w:rsidR="00674610" w:rsidRPr="00B23D37">
        <w:t>as provided above.</w:t>
      </w:r>
      <w:r w:rsidR="0057191A" w:rsidRPr="00B23D37">
        <w:t xml:space="preserve">  </w:t>
      </w:r>
    </w:p>
    <w:p w14:paraId="748A716B" w14:textId="606C8A50" w:rsidR="00ED0928" w:rsidRPr="00B23D37" w:rsidRDefault="00ED0928" w:rsidP="0061445A">
      <w:pPr>
        <w:pStyle w:val="Heading2"/>
      </w:pPr>
      <w:r w:rsidRPr="00B23D37">
        <w:t>In the event Consultant has incurred allowable costs</w:t>
      </w:r>
      <w:r w:rsidR="00581908" w:rsidRPr="00B23D37">
        <w:t>,</w:t>
      </w:r>
      <w:r w:rsidRPr="00B23D37">
        <w:t xml:space="preserve"> </w:t>
      </w:r>
      <w:r w:rsidR="00F62B1F" w:rsidRPr="00B23D37">
        <w:t>and such costs</w:t>
      </w:r>
      <w:r w:rsidR="00802D1B" w:rsidRPr="00B23D37">
        <w:t xml:space="preserve"> would exceed the maximum direct labor costs </w:t>
      </w:r>
      <w:r w:rsidR="00A33A5E">
        <w:t xml:space="preserve">(Section 2.A.) </w:t>
      </w:r>
      <w:r w:rsidR="00802D1B" w:rsidRPr="00B23D37">
        <w:t xml:space="preserve">or </w:t>
      </w:r>
      <w:r w:rsidR="00A33A5E">
        <w:t xml:space="preserve">the </w:t>
      </w:r>
      <w:r w:rsidR="00802D1B" w:rsidRPr="00B23D37">
        <w:t>total agreement amount</w:t>
      </w:r>
      <w:r w:rsidR="00DE50C3" w:rsidRPr="00B23D37">
        <w:t xml:space="preserve"> </w:t>
      </w:r>
      <w:r w:rsidR="00A33A5E">
        <w:t>(Section 2.C.)</w:t>
      </w:r>
      <w:r w:rsidR="00BE0DB6" w:rsidRPr="00B23D37">
        <w:t>,</w:t>
      </w:r>
      <w:r w:rsidRPr="00B23D37">
        <w:t xml:space="preserve"> Consultant shall list </w:t>
      </w:r>
      <w:r w:rsidR="00F62B1F" w:rsidRPr="00B23D37">
        <w:t xml:space="preserve">such </w:t>
      </w:r>
      <w:r w:rsidR="00A33A5E">
        <w:t xml:space="preserve">otherwise allowable </w:t>
      </w:r>
      <w:r w:rsidRPr="00B23D37">
        <w:t>costs on the invoice</w:t>
      </w:r>
      <w:r w:rsidR="00DE50C3" w:rsidRPr="00B23D37">
        <w:t xml:space="preserve">, </w:t>
      </w:r>
      <w:r w:rsidR="00F62B1F" w:rsidRPr="00B23D37">
        <w:t xml:space="preserve">but </w:t>
      </w:r>
      <w:r w:rsidR="00DE50C3" w:rsidRPr="00B23D37">
        <w:t>they must be subtracted</w:t>
      </w:r>
      <w:r w:rsidR="00F62B1F" w:rsidRPr="00B23D37">
        <w:t xml:space="preserve"> from the total</w:t>
      </w:r>
      <w:r w:rsidR="00DE50C3" w:rsidRPr="00B23D37">
        <w:t xml:space="preserve"> invoice amount</w:t>
      </w:r>
      <w:r w:rsidR="00F62B1F" w:rsidRPr="00B23D37">
        <w:t xml:space="preserve"> submitted to State for payment</w:t>
      </w:r>
      <w:r w:rsidR="00DE50C3" w:rsidRPr="00B23D37">
        <w:t>.</w:t>
      </w:r>
      <w:r w:rsidRPr="00B23D37">
        <w:t xml:space="preserve"> </w:t>
      </w:r>
    </w:p>
    <w:p w14:paraId="7E2E030A" w14:textId="0D69C3DC" w:rsidR="00C370DF" w:rsidRPr="00B23D37" w:rsidRDefault="00C370DF" w:rsidP="0061445A">
      <w:pPr>
        <w:pStyle w:val="Heading2"/>
      </w:pPr>
      <w:r w:rsidRPr="00B23D37">
        <w:t>Content of Invoice</w:t>
      </w:r>
      <w:r w:rsidR="004F2EFE" w:rsidRPr="00B23D37">
        <w:t xml:space="preserve"> Package</w:t>
      </w:r>
      <w:r w:rsidR="0023639E" w:rsidRPr="00B23D37">
        <w:t xml:space="preserve"> (</w:t>
      </w:r>
      <w:r w:rsidR="00953CEE">
        <w:t>P</w:t>
      </w:r>
      <w:r w:rsidR="0023639E" w:rsidRPr="00B23D37">
        <w:t>resented</w:t>
      </w:r>
      <w:r w:rsidR="00953CEE">
        <w:t xml:space="preserve"> in this order</w:t>
      </w:r>
      <w:r w:rsidR="0023639E" w:rsidRPr="00B23D37">
        <w:t>)</w:t>
      </w:r>
    </w:p>
    <w:p w14:paraId="4637897F" w14:textId="77777777" w:rsidR="004F2EFE" w:rsidRPr="00B23D37" w:rsidRDefault="004F2EFE" w:rsidP="0061445A">
      <w:pPr>
        <w:pStyle w:val="Heading3"/>
      </w:pPr>
      <w:r w:rsidRPr="0061445A">
        <w:rPr>
          <w:u w:val="single"/>
        </w:rPr>
        <w:t>Consultant’s Invoice</w:t>
      </w:r>
      <w:r w:rsidRPr="00B23D37">
        <w:t>:</w:t>
      </w:r>
    </w:p>
    <w:p w14:paraId="5BA2B882" w14:textId="797C8F11" w:rsidR="00FB4A9B" w:rsidRPr="0011157B" w:rsidRDefault="00FB4A9B" w:rsidP="0061445A">
      <w:pPr>
        <w:pStyle w:val="Heading4"/>
      </w:pPr>
      <w:r w:rsidRPr="00B23D37">
        <w:t xml:space="preserve">The first page of an invoice must </w:t>
      </w:r>
      <w:r w:rsidR="00174351" w:rsidRPr="00B23D37">
        <w:t>identify the</w:t>
      </w:r>
      <w:r w:rsidRPr="00B23D37">
        <w:t xml:space="preserve"> </w:t>
      </w:r>
      <w:r w:rsidR="00E43187" w:rsidRPr="00B23D37">
        <w:t>company</w:t>
      </w:r>
      <w:r w:rsidR="000A20D6" w:rsidRPr="00B23D37">
        <w:t>’s</w:t>
      </w:r>
      <w:r w:rsidR="00E43187" w:rsidRPr="00B23D37">
        <w:t xml:space="preserve"> name and address, </w:t>
      </w:r>
      <w:r w:rsidRPr="0011157B">
        <w:t>invoice number, invoice date, invoicing period (beginning and ending date</w:t>
      </w:r>
      <w:r w:rsidR="00803681" w:rsidRPr="0011157B">
        <w:t>s</w:t>
      </w:r>
      <w:r w:rsidRPr="0011157B">
        <w:t xml:space="preserve"> of services</w:t>
      </w:r>
      <w:r w:rsidR="00E54064" w:rsidRPr="0011157B">
        <w:t>)</w:t>
      </w:r>
      <w:r w:rsidR="00174351" w:rsidRPr="0011157B">
        <w:t>, and agreement or task order number</w:t>
      </w:r>
      <w:r w:rsidRPr="0011157B">
        <w:t>.</w:t>
      </w:r>
    </w:p>
    <w:p w14:paraId="0C8D383C" w14:textId="4CA155F0" w:rsidR="00FB4A9B" w:rsidRPr="0011157B" w:rsidRDefault="00FB4A9B" w:rsidP="00316742">
      <w:pPr>
        <w:pStyle w:val="Heading4"/>
        <w:keepLines w:val="0"/>
      </w:pPr>
      <w:r w:rsidRPr="0011157B">
        <w:t>The invoice</w:t>
      </w:r>
      <w:r w:rsidR="00E54064" w:rsidRPr="0011157B">
        <w:t xml:space="preserve"> </w:t>
      </w:r>
      <w:r w:rsidR="00ED36E7" w:rsidRPr="0011157B">
        <w:t>and, when applicable,</w:t>
      </w:r>
      <w:r w:rsidR="00E54064" w:rsidRPr="0011157B">
        <w:t xml:space="preserve"> accompanying supporting documentation</w:t>
      </w:r>
      <w:r w:rsidRPr="0011157B">
        <w:t xml:space="preserve"> must identify each employee by name and classification, the hours worked, and the </w:t>
      </w:r>
      <w:r w:rsidR="009F524B" w:rsidRPr="0011157B">
        <w:t xml:space="preserve">specific rate of compensation </w:t>
      </w:r>
      <w:r w:rsidR="00907D08" w:rsidRPr="0011157B">
        <w:t>(</w:t>
      </w:r>
      <w:r w:rsidR="00B33761">
        <w:t xml:space="preserve">SRC </w:t>
      </w:r>
      <w:r w:rsidR="00907D08" w:rsidRPr="0011157B">
        <w:t xml:space="preserve">billing rate) </w:t>
      </w:r>
      <w:r w:rsidRPr="0011157B">
        <w:t xml:space="preserve">for each employee.  </w:t>
      </w:r>
      <w:r w:rsidR="00A040B3" w:rsidRPr="0011157B">
        <w:rPr>
          <w:snapToGrid w:val="0"/>
        </w:rPr>
        <w:t xml:space="preserve">For </w:t>
      </w:r>
      <w:r w:rsidR="00B971AF" w:rsidRPr="0011157B">
        <w:rPr>
          <w:snapToGrid w:val="0"/>
        </w:rPr>
        <w:t xml:space="preserve">new </w:t>
      </w:r>
      <w:r w:rsidR="00A040B3" w:rsidRPr="0011157B">
        <w:rPr>
          <w:snapToGrid w:val="0"/>
        </w:rPr>
        <w:t xml:space="preserve">employees not listed on the Staffing Plan, the SRC </w:t>
      </w:r>
      <w:r w:rsidR="00B33761">
        <w:rPr>
          <w:snapToGrid w:val="0"/>
        </w:rPr>
        <w:t xml:space="preserve">billing </w:t>
      </w:r>
      <w:r w:rsidR="00A040B3" w:rsidRPr="0011157B">
        <w:rPr>
          <w:snapToGrid w:val="0"/>
        </w:rPr>
        <w:t>rate</w:t>
      </w:r>
      <w:r w:rsidR="0011157B" w:rsidRPr="0011157B">
        <w:rPr>
          <w:snapToGrid w:val="0"/>
        </w:rPr>
        <w:t>(s)</w:t>
      </w:r>
      <w:r w:rsidR="00A040B3" w:rsidRPr="0011157B">
        <w:rPr>
          <w:snapToGrid w:val="0"/>
        </w:rPr>
        <w:t xml:space="preserve"> shall be </w:t>
      </w:r>
      <w:r w:rsidR="00B971AF" w:rsidRPr="0011157B">
        <w:rPr>
          <w:snapToGrid w:val="0"/>
        </w:rPr>
        <w:t xml:space="preserve">provided on </w:t>
      </w:r>
      <w:r w:rsidR="00B971AF" w:rsidRPr="0011157B">
        <w:rPr>
          <w:i/>
          <w:iCs/>
          <w:snapToGrid w:val="0"/>
        </w:rPr>
        <w:t>NDOT Form 164 – SRC Billing Rates Table for New Employees</w:t>
      </w:r>
      <w:r w:rsidR="00B971AF" w:rsidRPr="0011157B">
        <w:rPr>
          <w:snapToGrid w:val="0"/>
        </w:rPr>
        <w:t xml:space="preserve"> and </w:t>
      </w:r>
      <w:r w:rsidR="00B971AF" w:rsidRPr="0011157B">
        <w:rPr>
          <w:b/>
          <w:bCs/>
          <w:snapToGrid w:val="0"/>
        </w:rPr>
        <w:t>submitted with the first invoice that includ</w:t>
      </w:r>
      <w:r w:rsidR="0011157B" w:rsidRPr="0011157B">
        <w:rPr>
          <w:b/>
          <w:bCs/>
          <w:snapToGrid w:val="0"/>
        </w:rPr>
        <w:t>es</w:t>
      </w:r>
      <w:r w:rsidR="00B971AF" w:rsidRPr="0011157B">
        <w:rPr>
          <w:b/>
          <w:bCs/>
          <w:snapToGrid w:val="0"/>
        </w:rPr>
        <w:t xml:space="preserve"> direct labor from the new employee</w:t>
      </w:r>
      <w:r w:rsidR="0011157B" w:rsidRPr="0011157B">
        <w:rPr>
          <w:b/>
          <w:bCs/>
          <w:snapToGrid w:val="0"/>
        </w:rPr>
        <w:t>s</w:t>
      </w:r>
      <w:r w:rsidR="0011157B" w:rsidRPr="0011157B">
        <w:rPr>
          <w:snapToGrid w:val="0"/>
        </w:rPr>
        <w:t>.</w:t>
      </w:r>
      <w:r w:rsidR="00580820">
        <w:rPr>
          <w:snapToGrid w:val="0"/>
        </w:rPr>
        <w:t xml:space="preserve">  This form is available on NDOT’s website at </w:t>
      </w:r>
      <w:hyperlink r:id="rId11" w:history="1">
        <w:r w:rsidR="00580820" w:rsidRPr="004C4AEE">
          <w:rPr>
            <w:rStyle w:val="Hyperlink"/>
            <w:snapToGrid w:val="0"/>
          </w:rPr>
          <w:t>https://dot.nebraska.gov/business-center/consultant/invoices/</w:t>
        </w:r>
      </w:hyperlink>
      <w:r w:rsidR="00580820">
        <w:rPr>
          <w:snapToGrid w:val="0"/>
        </w:rPr>
        <w:t xml:space="preserve">. </w:t>
      </w:r>
    </w:p>
    <w:p w14:paraId="20B30395" w14:textId="77777777" w:rsidR="001B1081" w:rsidRPr="0011157B" w:rsidRDefault="001B1081" w:rsidP="0061445A">
      <w:pPr>
        <w:pStyle w:val="Heading4"/>
      </w:pPr>
      <w:r w:rsidRPr="0011157B">
        <w:t>Direct non-labor expenses:</w:t>
      </w:r>
    </w:p>
    <w:p w14:paraId="0E9D1DEF" w14:textId="0624DB5C" w:rsidR="001B1081" w:rsidRPr="00B23D37" w:rsidRDefault="001B1081" w:rsidP="0061445A">
      <w:pPr>
        <w:pStyle w:val="Heading5"/>
      </w:pPr>
      <w:r w:rsidRPr="00B23D37">
        <w:t xml:space="preserve">Direct non-labor expenses, other than travel-related expenses, must be itemized and provide a complete description of each item billed </w:t>
      </w:r>
      <w:r w:rsidR="00ED36E7" w:rsidRPr="00B23D37">
        <w:t>along</w:t>
      </w:r>
      <w:r w:rsidRPr="00B23D37">
        <w:t xml:space="preserve"> with supporting receipts or invoices.  </w:t>
      </w:r>
    </w:p>
    <w:p w14:paraId="3C921325" w14:textId="5106A189" w:rsidR="005C5273" w:rsidRPr="006C2284" w:rsidRDefault="001B1081" w:rsidP="0061445A">
      <w:pPr>
        <w:pStyle w:val="Heading5"/>
      </w:pPr>
      <w:r w:rsidRPr="00B23D37">
        <w:t xml:space="preserve">Travel-related expenses must be summarized and submitted on </w:t>
      </w:r>
      <w:r w:rsidR="008A1479" w:rsidRPr="00B23D37">
        <w:t>NDOT</w:t>
      </w:r>
      <w:r w:rsidRPr="00B23D37">
        <w:t xml:space="preserve"> Form 163 (see </w:t>
      </w:r>
      <w:r w:rsidR="00EC6BCC">
        <w:t xml:space="preserve">paragraph </w:t>
      </w:r>
      <w:r w:rsidR="00EC6BCC" w:rsidRPr="00316742">
        <w:t xml:space="preserve">7.C.4) </w:t>
      </w:r>
      <w:r w:rsidRPr="00316742">
        <w:t>b</w:t>
      </w:r>
      <w:r w:rsidRPr="00B23D37">
        <w:t xml:space="preserve">elow).  Supporting receipts </w:t>
      </w:r>
      <w:r w:rsidR="00165CA6">
        <w:t xml:space="preserve">(excluding meal receipts) </w:t>
      </w:r>
      <w:r w:rsidRPr="00B23D37">
        <w:t xml:space="preserve">must be submitted with </w:t>
      </w:r>
      <w:r w:rsidR="008A1479" w:rsidRPr="00B23D37">
        <w:t>NDOT</w:t>
      </w:r>
      <w:r w:rsidRPr="00B23D37">
        <w:t xml:space="preserve"> </w:t>
      </w:r>
      <w:r w:rsidRPr="006C2284">
        <w:t xml:space="preserve">Form 163 when invoicing for these expenses.  </w:t>
      </w:r>
    </w:p>
    <w:p w14:paraId="4AF54A8F" w14:textId="65725760" w:rsidR="001B1081" w:rsidRPr="006C2284" w:rsidRDefault="001B1081" w:rsidP="004051E8">
      <w:pPr>
        <w:pStyle w:val="Heading5"/>
      </w:pPr>
      <w:r w:rsidRPr="006C2284">
        <w:t>All supporting receipts must be kept as required in Section 1</w:t>
      </w:r>
      <w:r w:rsidR="00DE50C3" w:rsidRPr="006C2284">
        <w:t>8</w:t>
      </w:r>
      <w:r w:rsidRPr="006C2284">
        <w:t>. CONSULTANT COST RECORD RETENTION.</w:t>
      </w:r>
    </w:p>
    <w:p w14:paraId="44A8A483" w14:textId="488073BE" w:rsidR="00370CB5" w:rsidRPr="006C2284" w:rsidRDefault="00370CB5" w:rsidP="004051E8">
      <w:pPr>
        <w:pStyle w:val="Heading4"/>
      </w:pPr>
      <w:r w:rsidRPr="006C2284">
        <w:t xml:space="preserve">Time </w:t>
      </w:r>
      <w:r w:rsidR="003F05B2">
        <w:t>R</w:t>
      </w:r>
      <w:r w:rsidRPr="006C2284">
        <w:t xml:space="preserve">ecords, as outlined in </w:t>
      </w:r>
      <w:r w:rsidR="00377C8B">
        <w:t>(</w:t>
      </w:r>
      <w:r w:rsidR="00352F5C">
        <w:t>Section</w:t>
      </w:r>
      <w:r w:rsidRPr="006C2284">
        <w:t xml:space="preserve"> </w:t>
      </w:r>
      <w:r w:rsidR="003977B3">
        <w:t>4.</w:t>
      </w:r>
      <w:r w:rsidRPr="006C2284">
        <w:t>A.</w:t>
      </w:r>
      <w:r w:rsidR="00D066E5">
        <w:t>1</w:t>
      </w:r>
      <w:r w:rsidR="00377C8B">
        <w:t>)</w:t>
      </w:r>
      <w:r w:rsidRPr="006C2284">
        <w:t>.</w:t>
      </w:r>
    </w:p>
    <w:p w14:paraId="3F3A1ACE" w14:textId="70714673" w:rsidR="001B1081" w:rsidRPr="00B23D37" w:rsidRDefault="001B1081" w:rsidP="004051E8">
      <w:pPr>
        <w:pStyle w:val="Heading4"/>
      </w:pPr>
      <w:r w:rsidRPr="006C2284">
        <w:t xml:space="preserve">Subconsultant </w:t>
      </w:r>
      <w:r w:rsidRPr="00B23D37">
        <w:t>S</w:t>
      </w:r>
      <w:r w:rsidRPr="00B23D37">
        <w:rPr>
          <w:snapToGrid w:val="0"/>
        </w:rPr>
        <w:t xml:space="preserve">ervices:  </w:t>
      </w:r>
      <w:r w:rsidRPr="00B23D37">
        <w:t>Consultant shall require subconsultants to provide the same supporting documentation, invoices, and receipts as Consultant is required to submit</w:t>
      </w:r>
      <w:r w:rsidR="00ED36E7" w:rsidRPr="00B23D37">
        <w:t xml:space="preserve"> and </w:t>
      </w:r>
      <w:r w:rsidRPr="00B23D37">
        <w:t xml:space="preserve">retain.  </w:t>
      </w:r>
    </w:p>
    <w:p w14:paraId="332315EC" w14:textId="1673B9D3" w:rsidR="0023639E" w:rsidRPr="00B23D37" w:rsidRDefault="0023639E" w:rsidP="004051E8">
      <w:pPr>
        <w:pStyle w:val="Heading3"/>
      </w:pPr>
      <w:r w:rsidRPr="00B23D37">
        <w:rPr>
          <w:u w:val="single"/>
        </w:rPr>
        <w:t>Progress Report:</w:t>
      </w:r>
      <w:r w:rsidRPr="00B23D37">
        <w:t xml:space="preserve">  A </w:t>
      </w:r>
      <w:r w:rsidR="004051E8">
        <w:t>p</w:t>
      </w:r>
      <w:r w:rsidRPr="00B23D37">
        <w:t xml:space="preserve">rogress </w:t>
      </w:r>
      <w:r w:rsidR="004051E8">
        <w:t>r</w:t>
      </w:r>
      <w:r w:rsidRPr="00B23D37">
        <w:t>eport</w:t>
      </w:r>
      <w:r w:rsidR="00033043">
        <w:t xml:space="preserve">, </w:t>
      </w:r>
      <w:r w:rsidR="00033043" w:rsidRPr="00714CA2">
        <w:t>containing both the Narrative and Task Summary</w:t>
      </w:r>
      <w:r w:rsidR="00033043">
        <w:t>,</w:t>
      </w:r>
      <w:r w:rsidRPr="00B23D37">
        <w:t xml:space="preserve"> must accompany the invoice package document</w:t>
      </w:r>
      <w:r w:rsidR="008B0650" w:rsidRPr="00B23D37">
        <w:t>ing</w:t>
      </w:r>
      <w:r w:rsidRPr="00B23D37">
        <w:t xml:space="preserve"> Consultant’s work during the service period. </w:t>
      </w:r>
      <w:r w:rsidR="00033043" w:rsidRPr="00033043">
        <w:t xml:space="preserve">Progress Report templates are available on the State’s website at </w:t>
      </w:r>
      <w:hyperlink r:id="rId12" w:history="1">
        <w:r w:rsidR="00033043" w:rsidRPr="00033043">
          <w:rPr>
            <w:rStyle w:val="Hyperlink"/>
          </w:rPr>
          <w:t>https://dot.nebraska.gov/business-center/consultant/invoices/</w:t>
        </w:r>
      </w:hyperlink>
      <w:r w:rsidR="00033043" w:rsidRPr="00033043" w:rsidDel="007F52AA">
        <w:t xml:space="preserve"> </w:t>
      </w:r>
      <w:r w:rsidR="00033043" w:rsidRPr="00033043">
        <w:t xml:space="preserve">.  </w:t>
      </w:r>
      <w:r w:rsidRPr="00B23D37">
        <w:t xml:space="preserve"> If an invoice is not submitted monthly, </w:t>
      </w:r>
      <w:r w:rsidR="008B0650" w:rsidRPr="00B23D37">
        <w:t xml:space="preserve">then </w:t>
      </w:r>
      <w:r w:rsidRPr="00B23D37">
        <w:t xml:space="preserve">a </w:t>
      </w:r>
      <w:r w:rsidR="000E581F">
        <w:t>p</w:t>
      </w:r>
      <w:r w:rsidRPr="00B23D37">
        <w:t xml:space="preserve">rogress </w:t>
      </w:r>
      <w:r w:rsidR="000E581F">
        <w:t>r</w:t>
      </w:r>
      <w:r w:rsidRPr="00B23D37">
        <w:t>eport must be submitted at least quarterly</w:t>
      </w:r>
      <w:r w:rsidR="008B0650" w:rsidRPr="00B23D37">
        <w:t xml:space="preserve"> via email to State’s Project Coordinator.  All </w:t>
      </w:r>
      <w:r w:rsidR="000E581F">
        <w:t>p</w:t>
      </w:r>
      <w:r w:rsidRPr="00B23D37">
        <w:t xml:space="preserve">rogress </w:t>
      </w:r>
      <w:r w:rsidR="000E581F">
        <w:t>r</w:t>
      </w:r>
      <w:r w:rsidRPr="00B23D37">
        <w:t>eport</w:t>
      </w:r>
      <w:r w:rsidR="008B0650" w:rsidRPr="00B23D37">
        <w:t>s</w:t>
      </w:r>
      <w:r w:rsidRPr="00B23D37">
        <w:t xml:space="preserve"> must include, but </w:t>
      </w:r>
      <w:r w:rsidR="00804C5D" w:rsidRPr="00B23D37">
        <w:t>are</w:t>
      </w:r>
      <w:r w:rsidRPr="00B23D37">
        <w:t xml:space="preserve"> not limited to, the following:</w:t>
      </w:r>
    </w:p>
    <w:p w14:paraId="640CC457" w14:textId="77777777" w:rsidR="0023639E" w:rsidRPr="00B23D37" w:rsidRDefault="0023639E" w:rsidP="000E581F">
      <w:pPr>
        <w:pStyle w:val="Heading4"/>
        <w:rPr>
          <w:snapToGrid w:val="0"/>
        </w:rPr>
      </w:pPr>
      <w:r w:rsidRPr="00B23D37">
        <w:rPr>
          <w:snapToGrid w:val="0"/>
        </w:rPr>
        <w:t xml:space="preserve">A description of the Services completed for the service period to substantiate the invoiced amount. </w:t>
      </w:r>
    </w:p>
    <w:p w14:paraId="58D533FE" w14:textId="77777777" w:rsidR="0023639E" w:rsidRPr="00B23D37" w:rsidRDefault="0023639E" w:rsidP="000E581F">
      <w:pPr>
        <w:pStyle w:val="Heading4"/>
        <w:rPr>
          <w:snapToGrid w:val="0"/>
        </w:rPr>
      </w:pPr>
      <w:r w:rsidRPr="00B23D37">
        <w:rPr>
          <w:snapToGrid w:val="0"/>
        </w:rPr>
        <w:t>A description of the Services anticipated for the next service period</w:t>
      </w:r>
    </w:p>
    <w:p w14:paraId="063870D1" w14:textId="45A2085B" w:rsidR="0023639E" w:rsidRPr="00B23D37" w:rsidRDefault="008B0650" w:rsidP="000E581F">
      <w:pPr>
        <w:pStyle w:val="Heading4"/>
        <w:rPr>
          <w:snapToGrid w:val="0"/>
        </w:rPr>
      </w:pPr>
      <w:r w:rsidRPr="00B23D37">
        <w:rPr>
          <w:snapToGrid w:val="0"/>
        </w:rPr>
        <w:t>A l</w:t>
      </w:r>
      <w:r w:rsidR="0023639E" w:rsidRPr="00B23D37">
        <w:rPr>
          <w:snapToGrid w:val="0"/>
        </w:rPr>
        <w:t>ist of information Consultant need</w:t>
      </w:r>
      <w:r w:rsidRPr="00B23D37">
        <w:rPr>
          <w:snapToGrid w:val="0"/>
        </w:rPr>
        <w:t>s</w:t>
      </w:r>
      <w:r w:rsidR="0023639E" w:rsidRPr="00B23D37">
        <w:rPr>
          <w:snapToGrid w:val="0"/>
        </w:rPr>
        <w:t xml:space="preserve"> from State</w:t>
      </w:r>
    </w:p>
    <w:p w14:paraId="3E4CB7BA" w14:textId="3C09DA03" w:rsidR="0023639E" w:rsidRDefault="0023639E" w:rsidP="000E581F">
      <w:pPr>
        <w:pStyle w:val="Heading4"/>
        <w:rPr>
          <w:snapToGrid w:val="0"/>
        </w:rPr>
      </w:pPr>
      <w:r w:rsidRPr="00B23D37">
        <w:rPr>
          <w:snapToGrid w:val="0"/>
        </w:rPr>
        <w:t>Percent of Services completed to date</w:t>
      </w:r>
    </w:p>
    <w:p w14:paraId="60FD8BBD" w14:textId="2D8B81A6" w:rsidR="00B23D37" w:rsidRPr="004319BC" w:rsidRDefault="00B23D37" w:rsidP="000E581F">
      <w:pPr>
        <w:spacing w:line="360" w:lineRule="auto"/>
        <w:ind w:left="1260"/>
      </w:pPr>
      <w:r w:rsidRPr="00B87D86">
        <w:t xml:space="preserve">NOTE: State’s Project Coordinator may request </w:t>
      </w:r>
      <w:r w:rsidR="007479A4" w:rsidRPr="00B87D86">
        <w:t xml:space="preserve">more </w:t>
      </w:r>
      <w:r w:rsidRPr="00B87D86">
        <w:t>specific information</w:t>
      </w:r>
      <w:r w:rsidR="007479A4" w:rsidRPr="00B87D86">
        <w:t xml:space="preserve"> or </w:t>
      </w:r>
      <w:r w:rsidRPr="004319BC">
        <w:t>detail be included in Progress Reports.</w:t>
      </w:r>
    </w:p>
    <w:p w14:paraId="20311E15" w14:textId="40C55260" w:rsidR="004F2EFE" w:rsidRPr="00B23D37" w:rsidRDefault="004F2EFE" w:rsidP="000E581F">
      <w:pPr>
        <w:pStyle w:val="Heading3"/>
      </w:pPr>
      <w:r w:rsidRPr="00B23D37">
        <w:rPr>
          <w:u w:val="single"/>
        </w:rPr>
        <w:t>Cost Breakdown Form</w:t>
      </w:r>
      <w:r w:rsidRPr="00B23D37">
        <w:t xml:space="preserve">:  </w:t>
      </w:r>
      <w:r w:rsidR="001B1081" w:rsidRPr="00B23D37">
        <w:t xml:space="preserve">Each invoice </w:t>
      </w:r>
      <w:r w:rsidRPr="00B23D37">
        <w:t xml:space="preserve">package </w:t>
      </w:r>
      <w:r w:rsidR="001B1081" w:rsidRPr="00B23D37">
        <w:t xml:space="preserve">must include a </w:t>
      </w:r>
      <w:r w:rsidR="00BD4A00" w:rsidRPr="00B23D37">
        <w:t xml:space="preserve">current and </w:t>
      </w:r>
      <w:r w:rsidR="001B1081" w:rsidRPr="00B23D37">
        <w:t>completed “Cost Breakdown Form” (</w:t>
      </w:r>
      <w:r w:rsidR="008A1479" w:rsidRPr="00B23D37">
        <w:t>NDOT</w:t>
      </w:r>
      <w:r w:rsidR="001B1081" w:rsidRPr="00B23D37">
        <w:t xml:space="preserve"> Form </w:t>
      </w:r>
      <w:r w:rsidR="001B1081" w:rsidRPr="004F2EFE">
        <w:t>162</w:t>
      </w:r>
      <w:r w:rsidR="009F524B">
        <w:t>a</w:t>
      </w:r>
      <w:r w:rsidR="001B1081" w:rsidRPr="00B23D37">
        <w:t>)</w:t>
      </w:r>
      <w:r w:rsidRPr="00B23D37">
        <w:t>.</w:t>
      </w:r>
      <w:r w:rsidR="002B0C42" w:rsidRPr="00B23D37">
        <w:t xml:space="preserve">  This form is available on the </w:t>
      </w:r>
      <w:r w:rsidR="00687101" w:rsidRPr="00B23D37">
        <w:t>State’</w:t>
      </w:r>
      <w:r w:rsidR="002B0C42" w:rsidRPr="00B23D37">
        <w:t xml:space="preserve">s website at </w:t>
      </w:r>
      <w:hyperlink r:id="rId13" w:history="1">
        <w:r w:rsidR="00687101" w:rsidRPr="00B23D37">
          <w:rPr>
            <w:rStyle w:val="Hyperlink"/>
          </w:rPr>
          <w:t>http://dot.nebraska.gov/business-center/consultant/</w:t>
        </w:r>
      </w:hyperlink>
      <w:r w:rsidR="002B0C42" w:rsidRPr="00B23D37">
        <w:t xml:space="preserve">.  </w:t>
      </w:r>
      <w:r w:rsidR="00C944C5" w:rsidRPr="00C944C5">
        <w:t>Utilizing the Cost Breakdown Form helps reduce errors in calculating previously billed amounts and limitations on eligible costs billed.</w:t>
      </w:r>
    </w:p>
    <w:p w14:paraId="1619648D" w14:textId="7CCF0B7E" w:rsidR="00013E3E" w:rsidRPr="00370CB5" w:rsidRDefault="004F2EFE" w:rsidP="000E581F">
      <w:pPr>
        <w:pStyle w:val="Heading3"/>
      </w:pPr>
      <w:r w:rsidRPr="00013E3E">
        <w:rPr>
          <w:u w:val="single"/>
        </w:rPr>
        <w:t>Travel Log:</w:t>
      </w:r>
      <w:r w:rsidRPr="00013E3E">
        <w:t xml:space="preserve"> </w:t>
      </w:r>
      <w:r w:rsidR="00A45A69" w:rsidRPr="00013E3E">
        <w:t xml:space="preserve"> </w:t>
      </w:r>
      <w:r w:rsidRPr="00013E3E">
        <w:t>I</w:t>
      </w:r>
      <w:r w:rsidR="001B1081" w:rsidRPr="00013E3E">
        <w:t>f</w:t>
      </w:r>
      <w:r w:rsidR="00800AB1" w:rsidRPr="00013E3E">
        <w:t xml:space="preserve"> an</w:t>
      </w:r>
      <w:r w:rsidR="001B1081" w:rsidRPr="00013E3E">
        <w:t xml:space="preserve"> invoice contains any travel-related expenses, </w:t>
      </w:r>
      <w:r w:rsidR="00800AB1" w:rsidRPr="00013E3E">
        <w:t xml:space="preserve">then </w:t>
      </w:r>
      <w:r w:rsidR="001B1081" w:rsidRPr="00013E3E">
        <w:t xml:space="preserve">a </w:t>
      </w:r>
      <w:r w:rsidR="00BD4A00" w:rsidRPr="00013E3E">
        <w:t xml:space="preserve">current and </w:t>
      </w:r>
      <w:r w:rsidR="001B1081" w:rsidRPr="00013E3E">
        <w:t>completed “Invoice Travel Log” (</w:t>
      </w:r>
      <w:r w:rsidR="008A1479" w:rsidRPr="00013E3E">
        <w:t>NDOT</w:t>
      </w:r>
      <w:r w:rsidR="001B1081" w:rsidRPr="00013E3E">
        <w:t xml:space="preserve"> Form 163)</w:t>
      </w:r>
      <w:r w:rsidRPr="00013E3E">
        <w:t xml:space="preserve"> must be </w:t>
      </w:r>
      <w:r w:rsidR="00800AB1" w:rsidRPr="00013E3E">
        <w:t>included</w:t>
      </w:r>
      <w:r w:rsidRPr="00013E3E">
        <w:t xml:space="preserve"> with the invoice package</w:t>
      </w:r>
      <w:r w:rsidR="001B1081" w:rsidRPr="00013E3E">
        <w:t xml:space="preserve">.  </w:t>
      </w:r>
      <w:r w:rsidR="002B0C42" w:rsidRPr="00013E3E">
        <w:t>This form is</w:t>
      </w:r>
      <w:r w:rsidR="00687101" w:rsidRPr="00013E3E">
        <w:t xml:space="preserve"> </w:t>
      </w:r>
      <w:r w:rsidR="001B1081" w:rsidRPr="00013E3E">
        <w:t xml:space="preserve">available on the </w:t>
      </w:r>
      <w:r w:rsidR="00687101" w:rsidRPr="00013E3E">
        <w:t>State’s</w:t>
      </w:r>
      <w:r w:rsidR="001B1081" w:rsidRPr="00013E3E">
        <w:t xml:space="preserve"> website</w:t>
      </w:r>
      <w:r w:rsidR="00D128AE" w:rsidRPr="00013E3E">
        <w:t xml:space="preserve"> at </w:t>
      </w:r>
      <w:hyperlink r:id="rId14" w:history="1">
        <w:r w:rsidR="00D128AE" w:rsidRPr="00013E3E">
          <w:rPr>
            <w:rStyle w:val="Hyperlink"/>
          </w:rPr>
          <w:t>http://dot.nebraska.gov/business-center/consultant/</w:t>
        </w:r>
      </w:hyperlink>
      <w:r w:rsidR="00D128AE" w:rsidRPr="00013E3E">
        <w:t xml:space="preserve">.  </w:t>
      </w:r>
      <w:r w:rsidR="001B1081" w:rsidRPr="00013E3E">
        <w:t xml:space="preserve"> Upon </w:t>
      </w:r>
      <w:r w:rsidR="00506757" w:rsidRPr="00013E3E">
        <w:t>pre-</w:t>
      </w:r>
      <w:r w:rsidR="001B1081" w:rsidRPr="00013E3E">
        <w:t>approval by State, Consultant m</w:t>
      </w:r>
      <w:r w:rsidR="00077BF3" w:rsidRPr="00013E3E">
        <w:t>a</w:t>
      </w:r>
      <w:r w:rsidR="001B1081" w:rsidRPr="00013E3E">
        <w:t xml:space="preserve">y use a substitute Invoice Travel Log provided it documents substantially the same information as </w:t>
      </w:r>
      <w:r w:rsidR="00BD4A00" w:rsidRPr="00013E3E">
        <w:t xml:space="preserve">the current </w:t>
      </w:r>
      <w:r w:rsidR="008A1479" w:rsidRPr="00013E3E">
        <w:t>NDOT</w:t>
      </w:r>
      <w:r w:rsidR="001B1081" w:rsidRPr="00013E3E">
        <w:t xml:space="preserve"> Form 163.</w:t>
      </w:r>
      <w:r w:rsidRPr="00013E3E">
        <w:t xml:space="preserve">  </w:t>
      </w:r>
      <w:bookmarkStart w:id="8" w:name="_Hlk48134790"/>
      <w:r w:rsidR="00013E3E" w:rsidRPr="00370CB5">
        <w:t>The Travel Log must document the employee’s name, date/time of departure to the project, date/time of return to the headquarters town, locations traveled, and expenses for transportation, meals, and lodging</w:t>
      </w:r>
      <w:r w:rsidR="00013E3E">
        <w:t>.</w:t>
      </w:r>
    </w:p>
    <w:bookmarkEnd w:id="8"/>
    <w:p w14:paraId="368805D8" w14:textId="2DF8CCF9" w:rsidR="00370CB5" w:rsidRPr="00013E3E" w:rsidRDefault="00223D8E" w:rsidP="000E581F">
      <w:pPr>
        <w:pStyle w:val="Heading3"/>
      </w:pPr>
      <w:r w:rsidRPr="00013E3E">
        <w:rPr>
          <w:u w:val="single"/>
        </w:rPr>
        <w:t>Mileage Log</w:t>
      </w:r>
      <w:r w:rsidR="00370CB5" w:rsidRPr="00013E3E">
        <w:t xml:space="preserve"> (when applicable)</w:t>
      </w:r>
      <w:r w:rsidRPr="00013E3E">
        <w:t xml:space="preserve">: </w:t>
      </w:r>
      <w:r w:rsidR="00370CB5" w:rsidRPr="00013E3E">
        <w:t>When Consultant is seeking reimbursement for mileage</w:t>
      </w:r>
      <w:r w:rsidR="00031DF2" w:rsidRPr="00013E3E">
        <w:t xml:space="preserve"> only</w:t>
      </w:r>
      <w:r w:rsidR="00370CB5" w:rsidRPr="00013E3E">
        <w:t xml:space="preserve">, Consultant must itemize travel on </w:t>
      </w:r>
      <w:r w:rsidR="00075693">
        <w:t>State’s</w:t>
      </w:r>
      <w:r w:rsidR="00370CB5" w:rsidRPr="00013E3E">
        <w:t xml:space="preserve"> </w:t>
      </w:r>
      <w:r w:rsidR="009C21B3" w:rsidRPr="00013E3E">
        <w:t xml:space="preserve">Travel </w:t>
      </w:r>
      <w:r w:rsidR="00201283" w:rsidRPr="00013E3E">
        <w:t>L</w:t>
      </w:r>
      <w:r w:rsidR="009C21B3" w:rsidRPr="00013E3E">
        <w:t xml:space="preserve">og, itemize on invoice, or </w:t>
      </w:r>
      <w:r w:rsidR="00370CB5" w:rsidRPr="00013E3E">
        <w:t>include a separate mileage log which includes the following: employee name, date of travel and miles driven, reimbursement rate and total expenses.  The total expenses are to be shown on the invoice as a direct expense.</w:t>
      </w:r>
    </w:p>
    <w:p w14:paraId="3987F4E6" w14:textId="6480A756" w:rsidR="001B1081" w:rsidRPr="00B23D37" w:rsidRDefault="001B1081" w:rsidP="000E581F">
      <w:pPr>
        <w:pStyle w:val="Heading2"/>
      </w:pPr>
      <w:r w:rsidRPr="00B23D37">
        <w:t xml:space="preserve">All invoice packages (invoice, progress report, required </w:t>
      </w:r>
      <w:r w:rsidR="008A1479" w:rsidRPr="00B23D37">
        <w:t>NDOT</w:t>
      </w:r>
      <w:r w:rsidRPr="00B23D37">
        <w:t xml:space="preserve"> Forms, supporting material) must be submitted electronically through State’s </w:t>
      </w:r>
      <w:r w:rsidR="00EA1B92" w:rsidRPr="00B23D37">
        <w:t>OnBase I</w:t>
      </w:r>
      <w:r w:rsidRPr="00B23D37">
        <w:t xml:space="preserve">nvoice </w:t>
      </w:r>
      <w:r w:rsidR="00EA1B92" w:rsidRPr="00B23D37">
        <w:t>W</w:t>
      </w:r>
      <w:r w:rsidRPr="00B23D37">
        <w:t xml:space="preserve">orkflow </w:t>
      </w:r>
      <w:r w:rsidR="00EA1B92" w:rsidRPr="00B23D37">
        <w:t>S</w:t>
      </w:r>
      <w:r w:rsidRPr="00B23D37">
        <w:t xml:space="preserve">ystem for review, approval, and payment.  The user guide for the OnBase </w:t>
      </w:r>
      <w:r w:rsidR="00EA1B92" w:rsidRPr="00B23D37">
        <w:t>Invoice Workflow system,</w:t>
      </w:r>
      <w:r w:rsidRPr="00B23D37">
        <w:t xml:space="preserve"> along with training videos can be found at </w:t>
      </w:r>
      <w:hyperlink r:id="rId15" w:history="1">
        <w:r w:rsidR="00687101" w:rsidRPr="00B23D37">
          <w:rPr>
            <w:rStyle w:val="Hyperlink"/>
          </w:rPr>
          <w:t>http://dot.nebraska.gov/business-center/consultant/onbase-help/</w:t>
        </w:r>
      </w:hyperlink>
      <w:r w:rsidRPr="00B23D37">
        <w:t>.</w:t>
      </w:r>
    </w:p>
    <w:p w14:paraId="65623209" w14:textId="36A07B57" w:rsidR="007D784E" w:rsidRPr="00B23D37" w:rsidRDefault="007D784E" w:rsidP="000E581F">
      <w:pPr>
        <w:pStyle w:val="Heading2"/>
      </w:pPr>
      <w:r w:rsidRPr="00B23D37">
        <w:t xml:space="preserve">Notice of Public Record:  Documents submitted to State, including invoices, supporting documentation, and other information are subject to disclosure by State </w:t>
      </w:r>
      <w:r w:rsidR="00800AB1" w:rsidRPr="00B23D37">
        <w:t>pursuant to</w:t>
      </w:r>
      <w:r w:rsidRPr="00B23D37">
        <w:t xml:space="preserve"> the Nebraska Public Records Act found at Neb.</w:t>
      </w:r>
      <w:r w:rsidR="0089735F" w:rsidRPr="00B23D37">
        <w:t xml:space="preserve"> </w:t>
      </w:r>
      <w:r w:rsidRPr="00B23D37">
        <w:t>Rev.</w:t>
      </w:r>
      <w:r w:rsidR="0089735F" w:rsidRPr="00B23D37">
        <w:t xml:space="preserve"> </w:t>
      </w:r>
      <w:r w:rsidRPr="00B23D37">
        <w:t xml:space="preserve">Stat. </w:t>
      </w:r>
      <w:r w:rsidRPr="00775298">
        <w:t>§</w:t>
      </w:r>
      <w:r w:rsidRPr="00B23D37">
        <w:t xml:space="preserve"> 84-712 et.seq.  </w:t>
      </w:r>
      <w:r w:rsidR="00800AB1" w:rsidRPr="00B23D37">
        <w:rPr>
          <w:u w:val="single"/>
        </w:rPr>
        <w:t>ACCORDINGLY, CONSULTANT SHALL REDACT OR NOT SUBMIT TO STATE INFORMATION THAT IS CONFIDENTIAL, INCLUDING, BUT NOT LIMITED TO, FINANCIAL INFORMATION SUCH AS SOCIAL SECURITY NUMBERS, TAX ID NUMBERS, OR BANK ACCOUNT NUMBERS.</w:t>
      </w:r>
      <w:r w:rsidR="00800AB1" w:rsidRPr="00A709DF">
        <w:rPr>
          <w:u w:val="single"/>
        </w:rPr>
        <w:t xml:space="preserve">  </w:t>
      </w:r>
      <w:r w:rsidRPr="00B23D37">
        <w:t>Consultant understands that State does not have sufficient resources to review and redact confidential information submitted by Consultant.  If such confidential information is submitted, Consultant shall have no right of action of any kind against State for the disclosure of such information.</w:t>
      </w:r>
    </w:p>
    <w:p w14:paraId="2FCAED3A" w14:textId="25C4F9BF" w:rsidR="00991A76" w:rsidRPr="00B23D37" w:rsidRDefault="00991A76" w:rsidP="000E581F">
      <w:pPr>
        <w:pStyle w:val="Heading1"/>
      </w:pPr>
      <w:r w:rsidRPr="00B23D37">
        <w:t>PAYMENTS</w:t>
      </w:r>
    </w:p>
    <w:p w14:paraId="16FBA376" w14:textId="61A81D12" w:rsidR="00991A76" w:rsidRPr="00B23D37" w:rsidRDefault="00991A76" w:rsidP="000E581F">
      <w:pPr>
        <w:pStyle w:val="ListParagraph"/>
        <w:spacing w:line="360" w:lineRule="auto"/>
        <w:ind w:left="450" w:hanging="450"/>
        <w:jc w:val="left"/>
        <w:rPr>
          <w:rFonts w:ascii="Arial" w:hAnsi="Arial" w:cs="Arial"/>
          <w:sz w:val="22"/>
          <w:szCs w:val="22"/>
        </w:rPr>
      </w:pPr>
      <w:r w:rsidRPr="00B23D37">
        <w:rPr>
          <w:rFonts w:ascii="Arial" w:hAnsi="Arial" w:cs="Arial"/>
          <w:snapToGrid w:val="0"/>
          <w:sz w:val="22"/>
          <w:szCs w:val="22"/>
        </w:rPr>
        <w:tab/>
        <w:t xml:space="preserve">State will pay Consultant </w:t>
      </w:r>
      <w:r w:rsidR="00800AB1" w:rsidRPr="00B23D37">
        <w:rPr>
          <w:rFonts w:ascii="Arial" w:hAnsi="Arial" w:cs="Arial"/>
          <w:snapToGrid w:val="0"/>
          <w:sz w:val="22"/>
          <w:szCs w:val="22"/>
        </w:rPr>
        <w:t>after</w:t>
      </w:r>
      <w:r w:rsidRPr="00B23D37">
        <w:rPr>
          <w:rFonts w:ascii="Arial" w:hAnsi="Arial" w:cs="Arial"/>
          <w:snapToGrid w:val="0"/>
          <w:sz w:val="22"/>
          <w:szCs w:val="22"/>
        </w:rPr>
        <w:t xml:space="preserve"> receipt of Consultant's invoice and determination by State that the invoice and </w:t>
      </w:r>
      <w:r w:rsidR="00CA6D10" w:rsidRPr="00B23D37">
        <w:rPr>
          <w:rFonts w:ascii="Arial" w:hAnsi="Arial" w:cs="Arial"/>
          <w:snapToGrid w:val="0"/>
          <w:sz w:val="22"/>
          <w:szCs w:val="22"/>
        </w:rPr>
        <w:t>p</w:t>
      </w:r>
      <w:r w:rsidRPr="00B23D37">
        <w:rPr>
          <w:rFonts w:ascii="Arial" w:hAnsi="Arial" w:cs="Arial"/>
          <w:snapToGrid w:val="0"/>
          <w:sz w:val="22"/>
          <w:szCs w:val="22"/>
        </w:rPr>
        <w:t xml:space="preserve">rogress </w:t>
      </w:r>
      <w:r w:rsidR="00CA6D10" w:rsidRPr="00B23D37">
        <w:rPr>
          <w:rFonts w:ascii="Arial" w:hAnsi="Arial" w:cs="Arial"/>
          <w:snapToGrid w:val="0"/>
          <w:sz w:val="22"/>
          <w:szCs w:val="22"/>
        </w:rPr>
        <w:t>r</w:t>
      </w:r>
      <w:r w:rsidRPr="00B23D37">
        <w:rPr>
          <w:rFonts w:ascii="Arial" w:hAnsi="Arial" w:cs="Arial"/>
          <w:snapToGrid w:val="0"/>
          <w:sz w:val="22"/>
          <w:szCs w:val="22"/>
        </w:rPr>
        <w:t>eport adequately substantiate the Services provided, and the Services were completed in accordance with this Agreement.</w:t>
      </w:r>
      <w:r w:rsidRPr="00B23D37">
        <w:rPr>
          <w:rFonts w:ascii="Arial" w:hAnsi="Arial" w:cs="Arial"/>
          <w:sz w:val="22"/>
          <w:szCs w:val="22"/>
        </w:rPr>
        <w:t xml:space="preserve">  Payments will not be made </w:t>
      </w:r>
      <w:r w:rsidRPr="00B23D37">
        <w:rPr>
          <w:rFonts w:ascii="Arial" w:hAnsi="Arial" w:cs="Arial"/>
          <w:snapToGrid w:val="0"/>
          <w:sz w:val="22"/>
          <w:szCs w:val="22"/>
        </w:rPr>
        <w:t>if</w:t>
      </w:r>
      <w:r w:rsidRPr="00B23D37">
        <w:rPr>
          <w:rFonts w:ascii="Arial" w:hAnsi="Arial" w:cs="Arial"/>
          <w:sz w:val="22"/>
          <w:szCs w:val="22"/>
        </w:rPr>
        <w:t xml:space="preserve"> the progress report </w:t>
      </w:r>
      <w:r w:rsidRPr="00B23D37">
        <w:rPr>
          <w:rFonts w:ascii="Arial" w:hAnsi="Arial" w:cs="Arial"/>
          <w:snapToGrid w:val="0"/>
          <w:sz w:val="22"/>
          <w:szCs w:val="22"/>
        </w:rPr>
        <w:t>do</w:t>
      </w:r>
      <w:r w:rsidR="001B1081" w:rsidRPr="00B23D37">
        <w:rPr>
          <w:rFonts w:ascii="Arial" w:hAnsi="Arial" w:cs="Arial"/>
          <w:snapToGrid w:val="0"/>
          <w:sz w:val="22"/>
          <w:szCs w:val="22"/>
        </w:rPr>
        <w:t>es</w:t>
      </w:r>
      <w:r w:rsidRPr="00B23D37">
        <w:rPr>
          <w:rFonts w:ascii="Arial" w:hAnsi="Arial" w:cs="Arial"/>
          <w:snapToGrid w:val="0"/>
          <w:sz w:val="22"/>
          <w:szCs w:val="22"/>
        </w:rPr>
        <w:t xml:space="preserve"> not </w:t>
      </w:r>
      <w:r w:rsidRPr="00B23D37">
        <w:rPr>
          <w:rFonts w:ascii="Arial" w:hAnsi="Arial" w:cs="Arial"/>
          <w:sz w:val="22"/>
          <w:szCs w:val="22"/>
        </w:rPr>
        <w:t xml:space="preserve">provide adequate substantiation for the </w:t>
      </w:r>
      <w:r w:rsidRPr="00B23D37">
        <w:rPr>
          <w:rFonts w:ascii="Arial" w:hAnsi="Arial" w:cs="Arial"/>
          <w:snapToGrid w:val="0"/>
          <w:sz w:val="22"/>
          <w:szCs w:val="22"/>
        </w:rPr>
        <w:t>Services</w:t>
      </w:r>
      <w:r w:rsidR="00752A1F" w:rsidRPr="00B23D37">
        <w:rPr>
          <w:rFonts w:ascii="Arial" w:hAnsi="Arial" w:cs="Arial"/>
          <w:snapToGrid w:val="0"/>
          <w:sz w:val="22"/>
          <w:szCs w:val="22"/>
        </w:rPr>
        <w:t>,</w:t>
      </w:r>
      <w:r w:rsidRPr="00B23D37">
        <w:rPr>
          <w:rFonts w:ascii="Arial" w:hAnsi="Arial" w:cs="Arial"/>
          <w:snapToGrid w:val="0"/>
          <w:sz w:val="22"/>
          <w:szCs w:val="22"/>
        </w:rPr>
        <w:t xml:space="preserve"> or</w:t>
      </w:r>
      <w:r w:rsidRPr="00B23D37">
        <w:rPr>
          <w:rFonts w:ascii="Arial" w:hAnsi="Arial" w:cs="Arial"/>
          <w:sz w:val="22"/>
          <w:szCs w:val="22"/>
        </w:rPr>
        <w:t xml:space="preserve"> State determines that the </w:t>
      </w:r>
      <w:r w:rsidRPr="00B23D37">
        <w:rPr>
          <w:rFonts w:ascii="Arial" w:hAnsi="Arial" w:cs="Arial"/>
          <w:snapToGrid w:val="0"/>
          <w:sz w:val="22"/>
          <w:szCs w:val="22"/>
        </w:rPr>
        <w:t>Services have not</w:t>
      </w:r>
      <w:r w:rsidRPr="00B23D37">
        <w:rPr>
          <w:rFonts w:ascii="Arial" w:hAnsi="Arial" w:cs="Arial"/>
          <w:sz w:val="22"/>
          <w:szCs w:val="22"/>
        </w:rPr>
        <w:t xml:space="preserve"> been properly completed.  State will make a reasonable effort to pay Consultant within 30 days of receipt of </w:t>
      </w:r>
      <w:r w:rsidRPr="00B23D37">
        <w:rPr>
          <w:rFonts w:ascii="Arial" w:hAnsi="Arial" w:cs="Arial"/>
          <w:snapToGrid w:val="0"/>
          <w:sz w:val="22"/>
          <w:szCs w:val="22"/>
        </w:rPr>
        <w:t>Consultant's</w:t>
      </w:r>
      <w:r w:rsidRPr="00B23D37">
        <w:rPr>
          <w:rFonts w:ascii="Arial" w:hAnsi="Arial" w:cs="Arial"/>
          <w:sz w:val="22"/>
          <w:szCs w:val="22"/>
        </w:rPr>
        <w:t xml:space="preserve"> invoices.</w:t>
      </w:r>
    </w:p>
    <w:p w14:paraId="4EBAB417" w14:textId="7A6286B5" w:rsidR="00DC13D2" w:rsidRPr="00B23D37" w:rsidRDefault="00DC13D2" w:rsidP="00E334AF">
      <w:pPr>
        <w:pStyle w:val="Heading1"/>
        <w:keepLines w:val="0"/>
      </w:pPr>
      <w:r w:rsidRPr="00B23D37">
        <w:t>PROMPT PAYMENT CLAUSE</w:t>
      </w:r>
    </w:p>
    <w:p w14:paraId="2DB0ACDB" w14:textId="37818FDA" w:rsidR="00DC13D2" w:rsidRPr="00B23D37" w:rsidRDefault="00143E4B" w:rsidP="00E334AF">
      <w:pPr>
        <w:keepNext/>
        <w:autoSpaceDE w:val="0"/>
        <w:autoSpaceDN w:val="0"/>
        <w:adjustRightInd w:val="0"/>
        <w:spacing w:line="360" w:lineRule="auto"/>
        <w:ind w:left="450"/>
        <w:rPr>
          <w:rFonts w:cs="Arial"/>
          <w:snapToGrid w:val="0"/>
          <w:szCs w:val="22"/>
        </w:rPr>
      </w:pPr>
      <w:r w:rsidRPr="00B23D37">
        <w:rPr>
          <w:rFonts w:cs="Arial"/>
          <w:snapToGrid w:val="0"/>
          <w:szCs w:val="22"/>
        </w:rPr>
        <w:t>Consultant</w:t>
      </w:r>
      <w:r w:rsidR="00DC13D2" w:rsidRPr="00B23D37">
        <w:rPr>
          <w:rFonts w:cs="Arial"/>
          <w:snapToGrid w:val="0"/>
          <w:szCs w:val="22"/>
        </w:rPr>
        <w:t xml:space="preserve"> shall include a “Prompt Payment Clause” as a part of every subcontract for work</w:t>
      </w:r>
      <w:r w:rsidR="00800AB1" w:rsidRPr="00B23D37">
        <w:rPr>
          <w:rFonts w:cs="Arial"/>
          <w:snapToGrid w:val="0"/>
          <w:szCs w:val="22"/>
        </w:rPr>
        <w:t xml:space="preserve">, including </w:t>
      </w:r>
      <w:r w:rsidR="007479A4">
        <w:rPr>
          <w:rFonts w:cs="Arial"/>
          <w:snapToGrid w:val="0"/>
          <w:szCs w:val="22"/>
        </w:rPr>
        <w:t xml:space="preserve">all </w:t>
      </w:r>
      <w:r w:rsidR="00810B1E" w:rsidRPr="00B23D37">
        <w:rPr>
          <w:rFonts w:cs="Arial"/>
          <w:snapToGrid w:val="0"/>
          <w:szCs w:val="22"/>
        </w:rPr>
        <w:t>lower</w:t>
      </w:r>
      <w:r w:rsidR="00800AB1" w:rsidRPr="00B23D37">
        <w:rPr>
          <w:rFonts w:cs="Arial"/>
          <w:snapToGrid w:val="0"/>
          <w:szCs w:val="22"/>
        </w:rPr>
        <w:t xml:space="preserve"> tier subcontracts</w:t>
      </w:r>
      <w:r w:rsidR="00DC13D2" w:rsidRPr="00B23D37">
        <w:rPr>
          <w:rFonts w:cs="Arial"/>
          <w:snapToGrid w:val="0"/>
          <w:szCs w:val="22"/>
        </w:rPr>
        <w:t xml:space="preserve">. </w:t>
      </w:r>
      <w:r w:rsidR="003645FA" w:rsidRPr="00B23D37">
        <w:rPr>
          <w:rFonts w:cs="Arial"/>
          <w:snapToGrid w:val="0"/>
          <w:szCs w:val="22"/>
        </w:rPr>
        <w:t xml:space="preserve"> </w:t>
      </w:r>
      <w:r w:rsidR="00DC13D2" w:rsidRPr="00B23D37">
        <w:rPr>
          <w:rFonts w:cs="Arial"/>
          <w:snapToGrid w:val="0"/>
          <w:szCs w:val="22"/>
        </w:rPr>
        <w:t xml:space="preserve">The “Prompt Payment Clause” will require </w:t>
      </w:r>
      <w:r w:rsidR="00810B1E" w:rsidRPr="00B23D37">
        <w:rPr>
          <w:rFonts w:cs="Arial"/>
          <w:snapToGrid w:val="0"/>
          <w:szCs w:val="22"/>
        </w:rPr>
        <w:t xml:space="preserve">progress </w:t>
      </w:r>
      <w:r w:rsidR="00DC13D2" w:rsidRPr="00B23D37">
        <w:rPr>
          <w:rFonts w:cs="Arial"/>
          <w:snapToGrid w:val="0"/>
          <w:szCs w:val="22"/>
        </w:rPr>
        <w:t>payment</w:t>
      </w:r>
      <w:r w:rsidR="00810B1E" w:rsidRPr="00B23D37">
        <w:rPr>
          <w:rFonts w:cs="Arial"/>
          <w:snapToGrid w:val="0"/>
          <w:szCs w:val="22"/>
        </w:rPr>
        <w:t>s</w:t>
      </w:r>
      <w:r w:rsidR="00DC13D2" w:rsidRPr="00B23D37">
        <w:rPr>
          <w:rFonts w:cs="Arial"/>
          <w:snapToGrid w:val="0"/>
          <w:szCs w:val="22"/>
        </w:rPr>
        <w:t xml:space="preserve"> to all subconsultants for all work completed, within twenty (20) calendar days </w:t>
      </w:r>
      <w:r w:rsidR="00800AB1" w:rsidRPr="00B23D37">
        <w:rPr>
          <w:rFonts w:cs="Arial"/>
          <w:snapToGrid w:val="0"/>
          <w:szCs w:val="22"/>
        </w:rPr>
        <w:t>after</w:t>
      </w:r>
      <w:r w:rsidR="00DC13D2" w:rsidRPr="00B23D37">
        <w:rPr>
          <w:rFonts w:cs="Arial"/>
          <w:snapToGrid w:val="0"/>
          <w:szCs w:val="22"/>
        </w:rPr>
        <w:t xml:space="preserve"> receipt of progress payments from the State for said work. </w:t>
      </w:r>
      <w:r w:rsidR="003645FA" w:rsidRPr="00B23D37">
        <w:rPr>
          <w:rFonts w:cs="Arial"/>
          <w:snapToGrid w:val="0"/>
          <w:szCs w:val="22"/>
        </w:rPr>
        <w:t xml:space="preserve"> </w:t>
      </w:r>
      <w:r w:rsidR="00162A64" w:rsidRPr="00B23D37">
        <w:rPr>
          <w:rFonts w:cs="Arial"/>
          <w:snapToGrid w:val="0"/>
          <w:szCs w:val="22"/>
        </w:rPr>
        <w:t xml:space="preserve">If </w:t>
      </w:r>
      <w:r w:rsidR="00DC13D2" w:rsidRPr="00B23D37">
        <w:rPr>
          <w:rFonts w:cs="Arial"/>
          <w:snapToGrid w:val="0"/>
          <w:szCs w:val="22"/>
        </w:rPr>
        <w:t>Consultant</w:t>
      </w:r>
      <w:r w:rsidR="00162A64" w:rsidRPr="00B23D37">
        <w:rPr>
          <w:rFonts w:cs="Arial"/>
          <w:snapToGrid w:val="0"/>
          <w:szCs w:val="22"/>
        </w:rPr>
        <w:t xml:space="preserve"> fails</w:t>
      </w:r>
      <w:r w:rsidR="00DC13D2" w:rsidRPr="00B23D37">
        <w:rPr>
          <w:rFonts w:cs="Arial"/>
          <w:snapToGrid w:val="0"/>
          <w:szCs w:val="22"/>
        </w:rPr>
        <w:t xml:space="preserve"> to carry out the requirements of the “Prompt Payment</w:t>
      </w:r>
      <w:r w:rsidR="00162A64" w:rsidRPr="00B23D37">
        <w:rPr>
          <w:rFonts w:cs="Arial"/>
          <w:snapToGrid w:val="0"/>
          <w:szCs w:val="22"/>
        </w:rPr>
        <w:t xml:space="preserve"> </w:t>
      </w:r>
      <w:r w:rsidR="00DC13D2" w:rsidRPr="00B23D37">
        <w:rPr>
          <w:rFonts w:cs="Arial"/>
          <w:snapToGrid w:val="0"/>
          <w:szCs w:val="22"/>
        </w:rPr>
        <w:t xml:space="preserve">Clause” without just cause, </w:t>
      </w:r>
      <w:r w:rsidR="00185CAA">
        <w:rPr>
          <w:rFonts w:cs="Arial"/>
          <w:snapToGrid w:val="0"/>
          <w:szCs w:val="22"/>
        </w:rPr>
        <w:t>it will be considered</w:t>
      </w:r>
      <w:r w:rsidR="00DC13D2" w:rsidRPr="00B23D37">
        <w:rPr>
          <w:rFonts w:cs="Arial"/>
          <w:snapToGrid w:val="0"/>
          <w:szCs w:val="22"/>
        </w:rPr>
        <w:t xml:space="preserve"> a material breach of this</w:t>
      </w:r>
      <w:r w:rsidR="00162A64" w:rsidRPr="00B23D37">
        <w:rPr>
          <w:rFonts w:cs="Arial"/>
          <w:snapToGrid w:val="0"/>
          <w:szCs w:val="22"/>
        </w:rPr>
        <w:t xml:space="preserve"> </w:t>
      </w:r>
      <w:r w:rsidR="00DC13D2" w:rsidRPr="00B23D37">
        <w:rPr>
          <w:rFonts w:cs="Arial"/>
          <w:snapToGrid w:val="0"/>
          <w:szCs w:val="22"/>
        </w:rPr>
        <w:t>Agreement</w:t>
      </w:r>
      <w:r w:rsidR="00162A64" w:rsidRPr="00B23D37">
        <w:rPr>
          <w:rFonts w:cs="Arial"/>
          <w:snapToGrid w:val="0"/>
          <w:szCs w:val="22"/>
        </w:rPr>
        <w:t>.  In such situation,</w:t>
      </w:r>
      <w:r w:rsidR="00DC13D2" w:rsidRPr="00B23D37">
        <w:rPr>
          <w:rFonts w:cs="Arial"/>
          <w:snapToGrid w:val="0"/>
          <w:szCs w:val="22"/>
        </w:rPr>
        <w:t xml:space="preserve"> State</w:t>
      </w:r>
      <w:r w:rsidR="00162A64" w:rsidRPr="00B23D37">
        <w:rPr>
          <w:rFonts w:cs="Arial"/>
          <w:snapToGrid w:val="0"/>
          <w:szCs w:val="22"/>
        </w:rPr>
        <w:t xml:space="preserve"> may</w:t>
      </w:r>
      <w:r w:rsidR="00DC13D2" w:rsidRPr="00B23D37">
        <w:rPr>
          <w:rFonts w:cs="Arial"/>
          <w:snapToGrid w:val="0"/>
          <w:szCs w:val="22"/>
        </w:rPr>
        <w:t xml:space="preserve"> withhold </w:t>
      </w:r>
      <w:r w:rsidR="00162A64" w:rsidRPr="00B23D37">
        <w:rPr>
          <w:rFonts w:cs="Arial"/>
          <w:snapToGrid w:val="0"/>
          <w:szCs w:val="22"/>
        </w:rPr>
        <w:t xml:space="preserve">any </w:t>
      </w:r>
      <w:r w:rsidR="00DC13D2" w:rsidRPr="00B23D37">
        <w:rPr>
          <w:rFonts w:cs="Arial"/>
          <w:snapToGrid w:val="0"/>
          <w:szCs w:val="22"/>
        </w:rPr>
        <w:t>payment</w:t>
      </w:r>
      <w:r w:rsidR="00162A64" w:rsidRPr="00B23D37">
        <w:rPr>
          <w:rFonts w:cs="Arial"/>
          <w:snapToGrid w:val="0"/>
          <w:szCs w:val="22"/>
        </w:rPr>
        <w:t xml:space="preserve"> due</w:t>
      </w:r>
      <w:r w:rsidR="00DC13D2" w:rsidRPr="00B23D37">
        <w:rPr>
          <w:rFonts w:cs="Arial"/>
          <w:snapToGrid w:val="0"/>
          <w:szCs w:val="22"/>
        </w:rPr>
        <w:t xml:space="preserve"> </w:t>
      </w:r>
      <w:r w:rsidR="00162A64" w:rsidRPr="00B23D37">
        <w:rPr>
          <w:rFonts w:cs="Arial"/>
          <w:snapToGrid w:val="0"/>
          <w:szCs w:val="22"/>
        </w:rPr>
        <w:t>to</w:t>
      </w:r>
      <w:r w:rsidR="00DC13D2" w:rsidRPr="00B23D37">
        <w:rPr>
          <w:rFonts w:cs="Arial"/>
          <w:snapToGrid w:val="0"/>
          <w:szCs w:val="22"/>
        </w:rPr>
        <w:t xml:space="preserve"> Consultant until all delinquent payments have been made (no interest will be paid for the period that payment was withheld), terminat</w:t>
      </w:r>
      <w:r w:rsidR="00162A64" w:rsidRPr="00B23D37">
        <w:rPr>
          <w:rFonts w:cs="Arial"/>
          <w:snapToGrid w:val="0"/>
          <w:szCs w:val="22"/>
        </w:rPr>
        <w:t>e</w:t>
      </w:r>
      <w:r w:rsidR="00DC13D2" w:rsidRPr="00B23D37">
        <w:rPr>
          <w:rFonts w:cs="Arial"/>
          <w:snapToGrid w:val="0"/>
          <w:szCs w:val="22"/>
        </w:rPr>
        <w:t xml:space="preserve"> this Agreement, or </w:t>
      </w:r>
      <w:r w:rsidR="00162A64" w:rsidRPr="00B23D37">
        <w:rPr>
          <w:rFonts w:cs="Arial"/>
          <w:snapToGrid w:val="0"/>
          <w:szCs w:val="22"/>
        </w:rPr>
        <w:t xml:space="preserve">any </w:t>
      </w:r>
      <w:r w:rsidR="00DC13D2" w:rsidRPr="00B23D37">
        <w:rPr>
          <w:rFonts w:cs="Arial"/>
          <w:snapToGrid w:val="0"/>
          <w:szCs w:val="22"/>
        </w:rPr>
        <w:t>other such remedy as State deems appropriate.</w:t>
      </w:r>
      <w:r w:rsidR="003645FA" w:rsidRPr="00B23D37">
        <w:rPr>
          <w:rFonts w:cs="Arial"/>
          <w:snapToGrid w:val="0"/>
          <w:szCs w:val="22"/>
        </w:rPr>
        <w:t xml:space="preserve">  </w:t>
      </w:r>
      <w:r w:rsidR="00DC13D2" w:rsidRPr="00B23D37">
        <w:rPr>
          <w:rFonts w:cs="Arial"/>
          <w:snapToGrid w:val="0"/>
          <w:szCs w:val="22"/>
        </w:rPr>
        <w:t xml:space="preserve">Consultant may withhold payment </w:t>
      </w:r>
      <w:r w:rsidR="007479A4">
        <w:rPr>
          <w:rFonts w:cs="Arial"/>
          <w:snapToGrid w:val="0"/>
          <w:szCs w:val="22"/>
        </w:rPr>
        <w:t>to</w:t>
      </w:r>
      <w:r w:rsidR="007479A4" w:rsidRPr="00B23D37">
        <w:rPr>
          <w:rFonts w:cs="Arial"/>
          <w:snapToGrid w:val="0"/>
          <w:szCs w:val="22"/>
        </w:rPr>
        <w:t xml:space="preserve"> </w:t>
      </w:r>
      <w:r w:rsidR="00162A64" w:rsidRPr="00B23D37">
        <w:rPr>
          <w:rFonts w:cs="Arial"/>
          <w:snapToGrid w:val="0"/>
          <w:szCs w:val="22"/>
        </w:rPr>
        <w:t xml:space="preserve">a subcontractor only </w:t>
      </w:r>
      <w:r w:rsidR="00DC13D2" w:rsidRPr="00B23D37">
        <w:rPr>
          <w:rFonts w:cs="Arial"/>
          <w:snapToGrid w:val="0"/>
          <w:szCs w:val="22"/>
        </w:rPr>
        <w:t xml:space="preserve">for just </w:t>
      </w:r>
      <w:r w:rsidR="008B34EE" w:rsidRPr="00B23D37">
        <w:rPr>
          <w:rFonts w:cs="Arial"/>
          <w:snapToGrid w:val="0"/>
          <w:szCs w:val="22"/>
        </w:rPr>
        <w:t>cause and</w:t>
      </w:r>
      <w:r w:rsidR="00DC13D2" w:rsidRPr="00B23D37">
        <w:rPr>
          <w:rFonts w:cs="Arial"/>
          <w:snapToGrid w:val="0"/>
          <w:szCs w:val="22"/>
        </w:rPr>
        <w:t xml:space="preserve"> must notify the</w:t>
      </w:r>
      <w:r w:rsidR="00944B37" w:rsidRPr="00B23D37">
        <w:rPr>
          <w:rFonts w:cs="Arial"/>
          <w:snapToGrid w:val="0"/>
          <w:szCs w:val="22"/>
        </w:rPr>
        <w:t xml:space="preserve"> </w:t>
      </w:r>
      <w:r w:rsidR="00B96999" w:rsidRPr="00B23D37">
        <w:rPr>
          <w:rFonts w:cs="Arial"/>
          <w:snapToGrid w:val="0"/>
          <w:szCs w:val="22"/>
        </w:rPr>
        <w:t>State</w:t>
      </w:r>
      <w:r w:rsidR="00DC13D2" w:rsidRPr="00B23D37">
        <w:rPr>
          <w:rFonts w:cs="Arial"/>
          <w:snapToGrid w:val="0"/>
          <w:szCs w:val="22"/>
        </w:rPr>
        <w:t xml:space="preserve"> in writing</w:t>
      </w:r>
      <w:r w:rsidR="00162A64" w:rsidRPr="00B23D37">
        <w:rPr>
          <w:rFonts w:cs="Arial"/>
          <w:snapToGrid w:val="0"/>
          <w:szCs w:val="22"/>
        </w:rPr>
        <w:t xml:space="preserve"> </w:t>
      </w:r>
      <w:r w:rsidR="00DC13D2" w:rsidRPr="00B23D37">
        <w:rPr>
          <w:rFonts w:cs="Arial"/>
          <w:snapToGrid w:val="0"/>
          <w:szCs w:val="22"/>
        </w:rPr>
        <w:t xml:space="preserve">of its intent to withhold payment </w:t>
      </w:r>
      <w:r w:rsidR="00162A64" w:rsidRPr="00B23D37">
        <w:rPr>
          <w:rFonts w:cs="Arial"/>
          <w:snapToGrid w:val="0"/>
          <w:szCs w:val="22"/>
        </w:rPr>
        <w:t>before</w:t>
      </w:r>
      <w:r w:rsidR="00DC13D2" w:rsidRPr="00B23D37">
        <w:rPr>
          <w:rFonts w:cs="Arial"/>
          <w:snapToGrid w:val="0"/>
          <w:szCs w:val="22"/>
        </w:rPr>
        <w:t xml:space="preserve"> actually withholding payment. </w:t>
      </w:r>
      <w:r w:rsidR="00944B37" w:rsidRPr="00B23D37">
        <w:rPr>
          <w:rFonts w:cs="Arial"/>
          <w:snapToGrid w:val="0"/>
          <w:szCs w:val="22"/>
        </w:rPr>
        <w:t xml:space="preserve"> </w:t>
      </w:r>
      <w:r w:rsidR="00DC13D2" w:rsidRPr="00B23D37">
        <w:rPr>
          <w:rFonts w:cs="Arial"/>
          <w:snapToGrid w:val="0"/>
          <w:szCs w:val="22"/>
        </w:rPr>
        <w:t>Consultant shall not withhold, delay</w:t>
      </w:r>
      <w:r w:rsidR="00162A64" w:rsidRPr="00B23D37">
        <w:rPr>
          <w:rFonts w:cs="Arial"/>
          <w:snapToGrid w:val="0"/>
          <w:szCs w:val="22"/>
        </w:rPr>
        <w:t>,</w:t>
      </w:r>
      <w:r w:rsidR="00DC13D2" w:rsidRPr="00B23D37">
        <w:rPr>
          <w:rFonts w:cs="Arial"/>
          <w:snapToGrid w:val="0"/>
          <w:szCs w:val="22"/>
        </w:rPr>
        <w:t xml:space="preserve"> or postpone payment without first receiving written approval from the State.</w:t>
      </w:r>
    </w:p>
    <w:p w14:paraId="6DE41962" w14:textId="394C5CE9" w:rsidR="00991A76" w:rsidRPr="00B23D37" w:rsidRDefault="00991A76" w:rsidP="000E581F">
      <w:pPr>
        <w:pStyle w:val="Heading1"/>
      </w:pPr>
      <w:r w:rsidRPr="00B23D37">
        <w:t>SUSPENSION OF PAYMENTS</w:t>
      </w:r>
    </w:p>
    <w:p w14:paraId="62AEBDE9" w14:textId="0BAFD668" w:rsidR="00991A76" w:rsidRPr="00B23D37" w:rsidRDefault="00991A76" w:rsidP="003B1C37">
      <w:pPr>
        <w:pStyle w:val="ListParagraph"/>
        <w:spacing w:line="360" w:lineRule="auto"/>
        <w:ind w:left="446" w:hanging="446"/>
        <w:jc w:val="left"/>
        <w:rPr>
          <w:rFonts w:ascii="Arial" w:hAnsi="Arial" w:cs="Arial"/>
          <w:snapToGrid w:val="0"/>
          <w:sz w:val="22"/>
          <w:szCs w:val="22"/>
        </w:rPr>
      </w:pPr>
      <w:r w:rsidRPr="00B23D37">
        <w:rPr>
          <w:rFonts w:ascii="Arial" w:hAnsi="Arial" w:cs="Arial"/>
          <w:snapToGrid w:val="0"/>
          <w:sz w:val="22"/>
          <w:szCs w:val="22"/>
        </w:rPr>
        <w:tab/>
        <w:t>When work is suspended on this project, payments shall be suspended until the work resumes or this Agreement is terminated.  Consultant shall not be compensated for any work completed or costs incurred on the project after the date of suspension.  When work is suspended for convenience, Consultant shall be compensated for work completed</w:t>
      </w:r>
      <w:r w:rsidR="00162A64" w:rsidRPr="00B23D37">
        <w:rPr>
          <w:rFonts w:ascii="Arial" w:hAnsi="Arial" w:cs="Arial"/>
          <w:snapToGrid w:val="0"/>
          <w:sz w:val="22"/>
          <w:szCs w:val="22"/>
        </w:rPr>
        <w:t>,</w:t>
      </w:r>
      <w:r w:rsidRPr="00B23D37">
        <w:rPr>
          <w:rFonts w:ascii="Arial" w:hAnsi="Arial" w:cs="Arial"/>
          <w:snapToGrid w:val="0"/>
          <w:sz w:val="22"/>
          <w:szCs w:val="22"/>
        </w:rPr>
        <w:t xml:space="preserve"> or costs incurred prior to the date of suspension.  When work is suspended for cause, payments shall be withheld until all remedial action is completed by Consultant to the satisfaction of State, at Consultant's sole cost.</w:t>
      </w:r>
    </w:p>
    <w:p w14:paraId="45D92BC1" w14:textId="11E248B3" w:rsidR="00D820AB" w:rsidRPr="000E581F" w:rsidRDefault="00522731" w:rsidP="00316742">
      <w:pPr>
        <w:pStyle w:val="Heading1"/>
        <w:keepNext w:val="0"/>
        <w:keepLines w:val="0"/>
        <w:rPr>
          <w:b w:val="0"/>
          <w:bCs/>
          <w:i/>
          <w:iCs/>
        </w:rPr>
      </w:pPr>
      <w:r w:rsidRPr="000E581F">
        <w:rPr>
          <w:b w:val="0"/>
          <w:bCs/>
          <w:i/>
          <w:iCs/>
        </w:rPr>
        <w:t>This section has intentionally</w:t>
      </w:r>
      <w:r w:rsidR="00752A1F" w:rsidRPr="000E581F">
        <w:rPr>
          <w:b w:val="0"/>
          <w:bCs/>
          <w:i/>
          <w:iCs/>
        </w:rPr>
        <w:t xml:space="preserve"> been</w:t>
      </w:r>
      <w:r w:rsidR="005D0E3E" w:rsidRPr="000E581F">
        <w:rPr>
          <w:b w:val="0"/>
          <w:bCs/>
          <w:i/>
          <w:iCs/>
        </w:rPr>
        <w:t xml:space="preserve"> </w:t>
      </w:r>
      <w:r w:rsidRPr="000E581F">
        <w:rPr>
          <w:b w:val="0"/>
          <w:bCs/>
          <w:i/>
          <w:iCs/>
        </w:rPr>
        <w:t>left blank</w:t>
      </w:r>
      <w:r w:rsidR="005D0E3E" w:rsidRPr="000E581F">
        <w:rPr>
          <w:b w:val="0"/>
          <w:bCs/>
          <w:i/>
          <w:iCs/>
        </w:rPr>
        <w:t>.</w:t>
      </w:r>
    </w:p>
    <w:p w14:paraId="69FB9ADC" w14:textId="05CDD7A5" w:rsidR="00991A76" w:rsidRPr="00B23D37" w:rsidRDefault="00991A76" w:rsidP="00316742">
      <w:pPr>
        <w:pStyle w:val="Heading1"/>
      </w:pPr>
      <w:r w:rsidRPr="00B23D37">
        <w:t>FINAL INVOICE AND PAYMENT</w:t>
      </w:r>
    </w:p>
    <w:p w14:paraId="0C8C4162" w14:textId="44D693CE" w:rsidR="000E581F" w:rsidRDefault="00991A76" w:rsidP="000E581F">
      <w:pPr>
        <w:pStyle w:val="Heading2"/>
      </w:pPr>
      <w:r w:rsidRPr="00B23D37">
        <w:t>Upon completion of the Services under this Agreement, Consultant shall submit their final invoice</w:t>
      </w:r>
      <w:r w:rsidR="00A709DF">
        <w:t xml:space="preserve"> </w:t>
      </w:r>
      <w:r w:rsidR="00A709DF" w:rsidRPr="0002235B">
        <w:t xml:space="preserve">to include all labor </w:t>
      </w:r>
      <w:r w:rsidR="001E2013">
        <w:t xml:space="preserve">and </w:t>
      </w:r>
      <w:r w:rsidR="00A709DF" w:rsidRPr="0002235B">
        <w:t>expenses</w:t>
      </w:r>
      <w:r w:rsidR="00CE00D0">
        <w:t xml:space="preserve">.  </w:t>
      </w:r>
      <w:r w:rsidR="00040070" w:rsidRPr="00366C3E">
        <w:t>After</w:t>
      </w:r>
      <w:r w:rsidRPr="00366C3E">
        <w:t xml:space="preserve"> receipt of final invoice</w:t>
      </w:r>
      <w:r w:rsidR="00B657F8" w:rsidRPr="00366C3E">
        <w:t xml:space="preserve"> </w:t>
      </w:r>
      <w:r w:rsidRPr="00366C3E">
        <w:t xml:space="preserve">and </w:t>
      </w:r>
      <w:r w:rsidR="007479A4" w:rsidRPr="00366C3E">
        <w:t xml:space="preserve">State has </w:t>
      </w:r>
      <w:r w:rsidRPr="00366C3E">
        <w:t>determin</w:t>
      </w:r>
      <w:r w:rsidR="007479A4" w:rsidRPr="00366C3E">
        <w:t>ed</w:t>
      </w:r>
      <w:r w:rsidRPr="00366C3E">
        <w:t xml:space="preserve"> that the </w:t>
      </w:r>
      <w:r w:rsidR="00B657F8" w:rsidRPr="00366C3E">
        <w:t xml:space="preserve">final </w:t>
      </w:r>
      <w:r w:rsidRPr="00366C3E">
        <w:t xml:space="preserve">invoice and Progress Report adequately substantiate the Services provided and </w:t>
      </w:r>
      <w:r w:rsidR="007479A4" w:rsidRPr="00366C3E">
        <w:t xml:space="preserve">that </w:t>
      </w:r>
      <w:r w:rsidRPr="00366C3E">
        <w:t xml:space="preserve">the Services were completed in accordance with this Agreement, State will pay Consultant.  </w:t>
      </w:r>
    </w:p>
    <w:p w14:paraId="5D102C52" w14:textId="15CDA053" w:rsidR="00D03739" w:rsidRPr="00D820AB" w:rsidRDefault="00040070" w:rsidP="000E581F">
      <w:pPr>
        <w:pStyle w:val="Heading2"/>
      </w:pPr>
      <w:r w:rsidRPr="00366C3E">
        <w:t>A</w:t>
      </w:r>
      <w:r w:rsidR="00991A76" w:rsidRPr="00366C3E">
        <w:t xml:space="preserve">cceptance of the final payment </w:t>
      </w:r>
      <w:r w:rsidRPr="00366C3E">
        <w:t xml:space="preserve">by Consultant </w:t>
      </w:r>
      <w:r w:rsidR="00991A76" w:rsidRPr="00366C3E">
        <w:t>will constitute and operate as a</w:t>
      </w:r>
      <w:r w:rsidR="00991A76" w:rsidRPr="00B23D37">
        <w:t xml:space="preserve"> release to State for all claims and liability to Consultant, its representatives, and assigns, for any and all things done, furnished, or relating to the Services rendered by or in connection with this Agreement or any part thereof.</w:t>
      </w:r>
    </w:p>
    <w:p w14:paraId="42C2D522" w14:textId="32721C96" w:rsidR="00991A76" w:rsidRPr="00B23D37" w:rsidRDefault="00991A76" w:rsidP="000E581F">
      <w:pPr>
        <w:pStyle w:val="Heading1"/>
      </w:pPr>
      <w:r w:rsidRPr="00B23D37">
        <w:t>AGREEMENT CLOSE-OUT</w:t>
      </w:r>
    </w:p>
    <w:p w14:paraId="47775F67" w14:textId="3B3C876B" w:rsidR="00991A76" w:rsidRPr="00B23D37" w:rsidRDefault="00991A76" w:rsidP="000E581F">
      <w:pPr>
        <w:pStyle w:val="ListParagraph"/>
        <w:spacing w:line="360" w:lineRule="auto"/>
        <w:ind w:left="450" w:hanging="450"/>
        <w:jc w:val="left"/>
        <w:rPr>
          <w:rFonts w:ascii="Arial" w:hAnsi="Arial" w:cs="Arial"/>
          <w:sz w:val="22"/>
          <w:szCs w:val="22"/>
        </w:rPr>
      </w:pPr>
      <w:r w:rsidRPr="00B23D37">
        <w:rPr>
          <w:rFonts w:ascii="Arial" w:hAnsi="Arial" w:cs="Arial"/>
          <w:snapToGrid w:val="0"/>
          <w:sz w:val="22"/>
          <w:szCs w:val="22"/>
        </w:rPr>
        <w:tab/>
        <w:t>Upon submitting its</w:t>
      </w:r>
      <w:r w:rsidRPr="00B23D37">
        <w:rPr>
          <w:rFonts w:ascii="Arial" w:hAnsi="Arial" w:cs="Arial"/>
          <w:sz w:val="22"/>
          <w:szCs w:val="22"/>
        </w:rPr>
        <w:t xml:space="preserve"> final</w:t>
      </w:r>
      <w:r w:rsidR="00D820AB">
        <w:rPr>
          <w:rFonts w:ascii="Arial" w:hAnsi="Arial" w:cs="Arial"/>
          <w:sz w:val="22"/>
          <w:szCs w:val="22"/>
        </w:rPr>
        <w:t xml:space="preserve"> invoice</w:t>
      </w:r>
      <w:r w:rsidRPr="00B23D37">
        <w:rPr>
          <w:rFonts w:ascii="Arial" w:hAnsi="Arial" w:cs="Arial"/>
          <w:sz w:val="22"/>
          <w:szCs w:val="22"/>
        </w:rPr>
        <w:t xml:space="preserve">, the Consultant </w:t>
      </w:r>
      <w:r w:rsidRPr="00B23D37">
        <w:rPr>
          <w:rFonts w:ascii="Arial" w:hAnsi="Arial" w:cs="Arial"/>
          <w:sz w:val="22"/>
          <w:szCs w:val="22"/>
          <w:u w:val="single"/>
        </w:rPr>
        <w:t>must</w:t>
      </w:r>
      <w:r w:rsidRPr="00B23D37">
        <w:rPr>
          <w:rFonts w:ascii="Arial" w:hAnsi="Arial" w:cs="Arial"/>
          <w:sz w:val="22"/>
          <w:szCs w:val="22"/>
        </w:rPr>
        <w:t xml:space="preserve"> complete and submit to State </w:t>
      </w:r>
      <w:r w:rsidR="00CA6D10" w:rsidRPr="00B23D37">
        <w:rPr>
          <w:rFonts w:ascii="Arial" w:hAnsi="Arial" w:cs="Arial"/>
          <w:sz w:val="22"/>
          <w:szCs w:val="22"/>
        </w:rPr>
        <w:t xml:space="preserve">a Notification of Completion </w:t>
      </w:r>
      <w:r w:rsidR="0026094C" w:rsidRPr="00B23D37">
        <w:rPr>
          <w:rFonts w:ascii="Arial" w:hAnsi="Arial" w:cs="Arial"/>
          <w:sz w:val="22"/>
          <w:szCs w:val="22"/>
        </w:rPr>
        <w:t xml:space="preserve">Form </w:t>
      </w:r>
      <w:r w:rsidR="001B1081" w:rsidRPr="00B23D37">
        <w:rPr>
          <w:rFonts w:ascii="Arial" w:hAnsi="Arial" w:cs="Arial"/>
          <w:sz w:val="22"/>
          <w:szCs w:val="22"/>
        </w:rPr>
        <w:t>(</w:t>
      </w:r>
      <w:r w:rsidR="008A1479" w:rsidRPr="00B23D37">
        <w:rPr>
          <w:rFonts w:ascii="Arial" w:hAnsi="Arial" w:cs="Arial"/>
          <w:sz w:val="22"/>
          <w:szCs w:val="22"/>
        </w:rPr>
        <w:t>NDOT</w:t>
      </w:r>
      <w:r w:rsidR="001B1081" w:rsidRPr="00B23D37">
        <w:rPr>
          <w:rFonts w:ascii="Arial" w:hAnsi="Arial" w:cs="Arial"/>
          <w:sz w:val="22"/>
          <w:szCs w:val="22"/>
        </w:rPr>
        <w:t xml:space="preserve"> </w:t>
      </w:r>
      <w:r w:rsidR="00CA6D10" w:rsidRPr="00B23D37">
        <w:rPr>
          <w:rFonts w:ascii="Arial" w:hAnsi="Arial" w:cs="Arial"/>
          <w:sz w:val="22"/>
          <w:szCs w:val="22"/>
        </w:rPr>
        <w:t xml:space="preserve">Form </w:t>
      </w:r>
      <w:r w:rsidRPr="00B23D37">
        <w:rPr>
          <w:rFonts w:ascii="Arial" w:hAnsi="Arial" w:cs="Arial"/>
          <w:sz w:val="22"/>
          <w:szCs w:val="22"/>
        </w:rPr>
        <w:t>39</w:t>
      </w:r>
      <w:r w:rsidR="001B1081" w:rsidRPr="00B23D37">
        <w:rPr>
          <w:rFonts w:ascii="Arial" w:hAnsi="Arial" w:cs="Arial"/>
          <w:sz w:val="22"/>
          <w:szCs w:val="22"/>
        </w:rPr>
        <w:t>)</w:t>
      </w:r>
      <w:r w:rsidRPr="00B23D37">
        <w:rPr>
          <w:rFonts w:ascii="Arial" w:hAnsi="Arial" w:cs="Arial"/>
          <w:sz w:val="22"/>
          <w:szCs w:val="22"/>
        </w:rPr>
        <w:t xml:space="preserve">. </w:t>
      </w:r>
      <w:r w:rsidR="00EA1B92" w:rsidRPr="00B23D37">
        <w:rPr>
          <w:rFonts w:ascii="Arial" w:hAnsi="Arial" w:cs="Arial"/>
          <w:sz w:val="22"/>
          <w:szCs w:val="22"/>
        </w:rPr>
        <w:t xml:space="preserve"> The form is </w:t>
      </w:r>
      <w:r w:rsidR="00C519FF" w:rsidRPr="00B23D37">
        <w:rPr>
          <w:rFonts w:ascii="Arial" w:hAnsi="Arial" w:cs="Arial"/>
          <w:sz w:val="22"/>
          <w:szCs w:val="22"/>
        </w:rPr>
        <w:t xml:space="preserve">generated and </w:t>
      </w:r>
      <w:r w:rsidR="00EA1B92" w:rsidRPr="00B23D37">
        <w:rPr>
          <w:rFonts w:ascii="Arial" w:hAnsi="Arial" w:cs="Arial"/>
          <w:sz w:val="22"/>
          <w:szCs w:val="22"/>
        </w:rPr>
        <w:t xml:space="preserve">submitted electronically through State’s OnBase Invoice Workflow System.  Instructions for </w:t>
      </w:r>
      <w:r w:rsidR="00C519FF" w:rsidRPr="00B23D37">
        <w:rPr>
          <w:rFonts w:ascii="Arial" w:hAnsi="Arial" w:cs="Arial"/>
          <w:sz w:val="22"/>
          <w:szCs w:val="22"/>
        </w:rPr>
        <w:t xml:space="preserve">generating and </w:t>
      </w:r>
      <w:r w:rsidR="00EA1B92" w:rsidRPr="00B23D37">
        <w:rPr>
          <w:rFonts w:ascii="Arial" w:hAnsi="Arial" w:cs="Arial"/>
          <w:sz w:val="22"/>
          <w:szCs w:val="22"/>
        </w:rPr>
        <w:t xml:space="preserve">submitting the NDOT Form 39 are </w:t>
      </w:r>
      <w:r w:rsidR="00EA1B92" w:rsidRPr="00F25BC7">
        <w:rPr>
          <w:rFonts w:ascii="Arial" w:hAnsi="Arial" w:cs="Arial"/>
          <w:sz w:val="22"/>
          <w:szCs w:val="22"/>
        </w:rPr>
        <w:t>available</w:t>
      </w:r>
      <w:r w:rsidR="00C01247" w:rsidRPr="00F25BC7">
        <w:rPr>
          <w:rFonts w:ascii="Arial" w:hAnsi="Arial" w:cs="Arial"/>
          <w:sz w:val="22"/>
          <w:szCs w:val="22"/>
        </w:rPr>
        <w:t xml:space="preserve"> </w:t>
      </w:r>
      <w:r w:rsidR="00CA6D10" w:rsidRPr="00F25BC7">
        <w:rPr>
          <w:rFonts w:ascii="Arial" w:hAnsi="Arial" w:cs="Arial"/>
          <w:sz w:val="22"/>
          <w:szCs w:val="22"/>
        </w:rPr>
        <w:t xml:space="preserve">on the </w:t>
      </w:r>
      <w:r w:rsidR="00687101" w:rsidRPr="00F25BC7">
        <w:rPr>
          <w:rFonts w:ascii="Arial" w:hAnsi="Arial" w:cs="Arial"/>
          <w:sz w:val="22"/>
          <w:szCs w:val="22"/>
        </w:rPr>
        <w:t>State’s</w:t>
      </w:r>
      <w:r w:rsidR="00CA6D10" w:rsidRPr="00F25BC7">
        <w:rPr>
          <w:rFonts w:ascii="Arial" w:hAnsi="Arial" w:cs="Arial"/>
          <w:sz w:val="22"/>
          <w:szCs w:val="22"/>
        </w:rPr>
        <w:t xml:space="preserve"> website </w:t>
      </w:r>
      <w:r w:rsidR="00D47F55" w:rsidRPr="00F25BC7">
        <w:rPr>
          <w:rFonts w:ascii="Arial" w:hAnsi="Arial" w:cs="Arial"/>
          <w:sz w:val="22"/>
          <w:szCs w:val="22"/>
        </w:rPr>
        <w:t>at</w:t>
      </w:r>
      <w:r w:rsidR="00F25BC7">
        <w:rPr>
          <w:rFonts w:ascii="Arial" w:hAnsi="Arial" w:cs="Arial"/>
          <w:sz w:val="22"/>
          <w:szCs w:val="22"/>
        </w:rPr>
        <w:t xml:space="preserve"> </w:t>
      </w:r>
      <w:hyperlink r:id="rId16" w:history="1">
        <w:r w:rsidR="00F25BC7" w:rsidRPr="00A2261B">
          <w:rPr>
            <w:rStyle w:val="Hyperlink"/>
            <w:rFonts w:ascii="Arial" w:hAnsi="Arial" w:cs="Arial"/>
            <w:sz w:val="22"/>
            <w:szCs w:val="22"/>
          </w:rPr>
          <w:t>https://dot.nebraska.gov/media/mfllv3k5/ndot39-instructions.pdf</w:t>
        </w:r>
      </w:hyperlink>
      <w:r w:rsidRPr="00F25BC7">
        <w:rPr>
          <w:rFonts w:ascii="Arial" w:hAnsi="Arial" w:cs="Arial"/>
          <w:sz w:val="22"/>
          <w:szCs w:val="22"/>
        </w:rPr>
        <w:t>.</w:t>
      </w:r>
      <w:r w:rsidR="00B657F8" w:rsidRPr="00F25BC7">
        <w:rPr>
          <w:rFonts w:ascii="Arial" w:hAnsi="Arial" w:cs="Arial"/>
          <w:sz w:val="22"/>
          <w:szCs w:val="22"/>
        </w:rPr>
        <w:t xml:space="preserve"> </w:t>
      </w:r>
      <w:r w:rsidR="00D03739" w:rsidRPr="00F25BC7">
        <w:rPr>
          <w:rFonts w:ascii="Arial" w:hAnsi="Arial" w:cs="Arial"/>
          <w:sz w:val="22"/>
          <w:szCs w:val="22"/>
        </w:rPr>
        <w:t xml:space="preserve"> Consultant</w:t>
      </w:r>
      <w:r w:rsidR="00D03739" w:rsidRPr="00B23D37">
        <w:rPr>
          <w:rFonts w:ascii="Arial" w:hAnsi="Arial" w:cs="Arial"/>
          <w:sz w:val="22"/>
          <w:szCs w:val="22"/>
        </w:rPr>
        <w:t xml:space="preserve"> shall submit NDOT 39 Form within </w:t>
      </w:r>
      <w:r w:rsidR="00535D0D">
        <w:rPr>
          <w:rFonts w:ascii="Arial" w:hAnsi="Arial" w:cs="Arial"/>
          <w:sz w:val="22"/>
          <w:szCs w:val="22"/>
        </w:rPr>
        <w:t>180</w:t>
      </w:r>
      <w:r w:rsidR="00D03739" w:rsidRPr="00B23D37">
        <w:rPr>
          <w:rFonts w:ascii="Arial" w:hAnsi="Arial" w:cs="Arial"/>
          <w:sz w:val="22"/>
          <w:szCs w:val="22"/>
        </w:rPr>
        <w:t xml:space="preserve"> days of completion of the work under this Agreement, and if such Form is not timely submitted, State may audit and close the Agreement without accepting any further invoices from Consultant</w:t>
      </w:r>
      <w:r w:rsidR="00F05FFF" w:rsidRPr="00B23D37">
        <w:rPr>
          <w:rFonts w:ascii="Arial" w:hAnsi="Arial" w:cs="Arial"/>
          <w:sz w:val="22"/>
          <w:szCs w:val="22"/>
        </w:rPr>
        <w:t>.</w:t>
      </w:r>
    </w:p>
    <w:p w14:paraId="6B7A349B" w14:textId="6ED2B25F" w:rsidR="00880D85" w:rsidRPr="00B23D37" w:rsidRDefault="00880D85" w:rsidP="000E581F">
      <w:pPr>
        <w:pStyle w:val="Heading1"/>
      </w:pPr>
      <w:r w:rsidRPr="00B23D37">
        <w:t>FEDERAL COST PRINCIPLES</w:t>
      </w:r>
    </w:p>
    <w:p w14:paraId="4A4111D9" w14:textId="77777777" w:rsidR="00880D85" w:rsidRPr="00B23D37" w:rsidRDefault="00880D85" w:rsidP="000E581F">
      <w:pPr>
        <w:pStyle w:val="ListParagraph"/>
        <w:spacing w:after="120" w:line="360" w:lineRule="auto"/>
        <w:ind w:left="450" w:hanging="450"/>
        <w:contextualSpacing w:val="0"/>
        <w:jc w:val="left"/>
        <w:rPr>
          <w:rFonts w:ascii="Arial" w:hAnsi="Arial" w:cs="Arial"/>
          <w:b/>
          <w:sz w:val="22"/>
          <w:szCs w:val="22"/>
        </w:rPr>
      </w:pPr>
      <w:r w:rsidRPr="00B23D37">
        <w:rPr>
          <w:rFonts w:ascii="Arial" w:hAnsi="Arial" w:cs="Arial"/>
          <w:snapToGrid w:val="0"/>
          <w:sz w:val="22"/>
          <w:szCs w:val="22"/>
        </w:rPr>
        <w:tab/>
      </w:r>
      <w:r w:rsidRPr="00B23D37">
        <w:rPr>
          <w:rFonts w:ascii="Arial" w:hAnsi="Arial" w:cs="Arial"/>
          <w:sz w:val="22"/>
          <w:szCs w:val="22"/>
        </w:rPr>
        <w:t>For performance of Services as specified in</w:t>
      </w:r>
      <w:r w:rsidRPr="00B23D37" w:rsidDel="00A2075D">
        <w:rPr>
          <w:rFonts w:ascii="Arial" w:hAnsi="Arial" w:cs="Arial"/>
          <w:snapToGrid w:val="0"/>
          <w:sz w:val="22"/>
          <w:szCs w:val="22"/>
        </w:rPr>
        <w:t xml:space="preserve"> </w:t>
      </w:r>
      <w:r w:rsidRPr="00B23D37">
        <w:rPr>
          <w:rFonts w:ascii="Arial" w:hAnsi="Arial" w:cs="Arial"/>
          <w:snapToGrid w:val="0"/>
          <w:sz w:val="22"/>
          <w:szCs w:val="22"/>
        </w:rPr>
        <w:t xml:space="preserve">this Agreement, State will pay Consultant </w:t>
      </w:r>
      <w:r w:rsidRPr="00B23D37">
        <w:rPr>
          <w:rFonts w:ascii="Arial" w:hAnsi="Arial" w:cs="Arial"/>
          <w:sz w:val="22"/>
          <w:szCs w:val="22"/>
        </w:rPr>
        <w:t xml:space="preserve">subject to the terms of this </w:t>
      </w:r>
      <w:r w:rsidRPr="00B23D37">
        <w:rPr>
          <w:rFonts w:ascii="Arial" w:hAnsi="Arial" w:cs="Arial"/>
          <w:snapToGrid w:val="0"/>
          <w:sz w:val="22"/>
          <w:szCs w:val="22"/>
        </w:rPr>
        <w:t>Agreement</w:t>
      </w:r>
      <w:r w:rsidRPr="00B23D37">
        <w:rPr>
          <w:rFonts w:ascii="Arial" w:hAnsi="Arial" w:cs="Arial"/>
          <w:sz w:val="22"/>
          <w:szCs w:val="22"/>
        </w:rPr>
        <w:t xml:space="preserve"> and all requirements and limitations of the federal cost principles contained in the </w:t>
      </w:r>
      <w:r w:rsidR="00F964BA" w:rsidRPr="00B23D37">
        <w:rPr>
          <w:rFonts w:ascii="Arial" w:hAnsi="Arial" w:cs="Arial"/>
          <w:snapToGrid w:val="0"/>
          <w:sz w:val="22"/>
          <w:szCs w:val="22"/>
        </w:rPr>
        <w:t xml:space="preserve">Federal Acquisition Regulations </w:t>
      </w:r>
      <w:hyperlink r:id="rId17" w:history="1">
        <w:r w:rsidR="00F964BA" w:rsidRPr="00B23D37">
          <w:rPr>
            <w:rStyle w:val="Hyperlink"/>
            <w:rFonts w:ascii="Arial" w:hAnsi="Arial" w:cs="Arial"/>
            <w:snapToGrid w:val="0"/>
            <w:sz w:val="22"/>
            <w:szCs w:val="22"/>
          </w:rPr>
          <w:t>48 CFR 31 (</w:t>
        </w:r>
        <w:r w:rsidR="00F964BA" w:rsidRPr="00B23D37">
          <w:rPr>
            <w:rStyle w:val="Hyperlink"/>
            <w:rFonts w:ascii="Arial" w:hAnsi="Arial" w:cs="Arial"/>
            <w:i/>
            <w:snapToGrid w:val="0"/>
            <w:sz w:val="22"/>
            <w:szCs w:val="22"/>
          </w:rPr>
          <w:t>Contract Cost Principles and Procedures</w:t>
        </w:r>
        <w:r w:rsidR="00F964BA" w:rsidRPr="00B23D37">
          <w:rPr>
            <w:rStyle w:val="Hyperlink"/>
            <w:rFonts w:ascii="Arial" w:hAnsi="Arial" w:cs="Arial"/>
            <w:snapToGrid w:val="0"/>
            <w:sz w:val="22"/>
            <w:szCs w:val="22"/>
          </w:rPr>
          <w:t>)</w:t>
        </w:r>
      </w:hyperlink>
      <w:r w:rsidRPr="00B23D37">
        <w:rPr>
          <w:rFonts w:ascii="Arial" w:hAnsi="Arial" w:cs="Arial"/>
          <w:sz w:val="22"/>
          <w:szCs w:val="22"/>
        </w:rPr>
        <w:t>.</w:t>
      </w:r>
    </w:p>
    <w:p w14:paraId="226E0DAD" w14:textId="5DD84BB5" w:rsidR="00F7566F" w:rsidRPr="00B23D37" w:rsidRDefault="00F7566F" w:rsidP="000E581F">
      <w:pPr>
        <w:pStyle w:val="Heading1"/>
      </w:pPr>
      <w:r w:rsidRPr="00B23D37">
        <w:t>OUT-OF-SCOPE SERVICES AND CONSULTANT WORK ORDERS</w:t>
      </w:r>
    </w:p>
    <w:p w14:paraId="730F5FB1" w14:textId="77777777" w:rsidR="00F7566F" w:rsidRPr="00B23D37" w:rsidRDefault="00F7566F" w:rsidP="000E581F">
      <w:pPr>
        <w:pStyle w:val="ListParagraph"/>
        <w:spacing w:line="360" w:lineRule="auto"/>
        <w:ind w:left="450" w:hanging="450"/>
        <w:jc w:val="left"/>
        <w:rPr>
          <w:rFonts w:ascii="Arial" w:hAnsi="Arial" w:cs="Arial"/>
          <w:snapToGrid w:val="0"/>
          <w:sz w:val="22"/>
          <w:szCs w:val="22"/>
        </w:rPr>
      </w:pPr>
      <w:r w:rsidRPr="00B23D37">
        <w:rPr>
          <w:rFonts w:ascii="Arial" w:hAnsi="Arial" w:cs="Arial"/>
          <w:snapToGrid w:val="0"/>
          <w:sz w:val="22"/>
          <w:szCs w:val="22"/>
        </w:rPr>
        <w:tab/>
      </w:r>
      <w:r w:rsidRPr="00B23D37">
        <w:rPr>
          <w:rFonts w:ascii="Arial" w:hAnsi="Arial" w:cs="Arial"/>
          <w:sz w:val="22"/>
          <w:szCs w:val="22"/>
        </w:rPr>
        <w:t xml:space="preserve">State may request that Consultant provide </w:t>
      </w:r>
      <w:r w:rsidR="00134C85" w:rsidRPr="00B23D37">
        <w:rPr>
          <w:rFonts w:ascii="Arial" w:hAnsi="Arial" w:cs="Arial"/>
          <w:snapToGrid w:val="0"/>
          <w:sz w:val="22"/>
          <w:szCs w:val="22"/>
        </w:rPr>
        <w:t>s</w:t>
      </w:r>
      <w:r w:rsidRPr="00B23D37">
        <w:rPr>
          <w:rFonts w:ascii="Arial" w:hAnsi="Arial" w:cs="Arial"/>
          <w:snapToGrid w:val="0"/>
          <w:sz w:val="22"/>
          <w:szCs w:val="22"/>
        </w:rPr>
        <w:t>ervices</w:t>
      </w:r>
      <w:r w:rsidRPr="00B23D37">
        <w:rPr>
          <w:rFonts w:ascii="Arial" w:hAnsi="Arial" w:cs="Arial"/>
          <w:sz w:val="22"/>
          <w:szCs w:val="22"/>
        </w:rPr>
        <w:t xml:space="preserve"> that, in the opinion of Consultant, are in addition to or different from those set out in the Scope of Services.  When State decides that these </w:t>
      </w:r>
      <w:r w:rsidR="00134C85" w:rsidRPr="00B23D37">
        <w:rPr>
          <w:rFonts w:ascii="Arial" w:hAnsi="Arial" w:cs="Arial"/>
          <w:sz w:val="22"/>
          <w:szCs w:val="22"/>
        </w:rPr>
        <w:t xml:space="preserve">out-of-scope </w:t>
      </w:r>
      <w:r w:rsidR="00134C85" w:rsidRPr="00B23D37">
        <w:rPr>
          <w:rFonts w:ascii="Arial" w:hAnsi="Arial" w:cs="Arial"/>
          <w:snapToGrid w:val="0"/>
          <w:sz w:val="22"/>
          <w:szCs w:val="22"/>
        </w:rPr>
        <w:t>s</w:t>
      </w:r>
      <w:r w:rsidRPr="00B23D37">
        <w:rPr>
          <w:rFonts w:ascii="Arial" w:hAnsi="Arial" w:cs="Arial"/>
          <w:snapToGrid w:val="0"/>
          <w:sz w:val="22"/>
          <w:szCs w:val="22"/>
        </w:rPr>
        <w:t>ervices may</w:t>
      </w:r>
      <w:r w:rsidRPr="00B23D37">
        <w:rPr>
          <w:rFonts w:ascii="Arial" w:hAnsi="Arial" w:cs="Arial"/>
          <w:sz w:val="22"/>
          <w:szCs w:val="22"/>
        </w:rPr>
        <w:t xml:space="preserve"> require an adjustment in costs, Consultant shall</w:t>
      </w:r>
      <w:r w:rsidRPr="00B23D37">
        <w:rPr>
          <w:rFonts w:ascii="Arial" w:hAnsi="Arial" w:cs="Arial"/>
          <w:snapToGrid w:val="0"/>
          <w:sz w:val="22"/>
          <w:szCs w:val="22"/>
        </w:rPr>
        <w:t xml:space="preserve"> provide in writing: </w:t>
      </w:r>
    </w:p>
    <w:p w14:paraId="2FD6EBD5" w14:textId="77777777" w:rsidR="00F7566F" w:rsidRPr="00B23D37" w:rsidRDefault="00F7566F" w:rsidP="000E581F">
      <w:pPr>
        <w:pStyle w:val="Heading2"/>
      </w:pPr>
      <w:r w:rsidRPr="00B23D37">
        <w:t xml:space="preserve">A description of the </w:t>
      </w:r>
      <w:r w:rsidR="00134C85" w:rsidRPr="00B23D37">
        <w:t xml:space="preserve">out-of-scope </w:t>
      </w:r>
      <w:r w:rsidRPr="00B23D37">
        <w:t xml:space="preserve">services, </w:t>
      </w:r>
    </w:p>
    <w:p w14:paraId="63221ED2" w14:textId="77777777" w:rsidR="00F7566F" w:rsidRPr="00B23D37" w:rsidRDefault="00F7566F" w:rsidP="000E581F">
      <w:pPr>
        <w:pStyle w:val="Heading2"/>
      </w:pPr>
      <w:r w:rsidRPr="00B23D37">
        <w:t xml:space="preserve">An explanation of why Consultant believes that the </w:t>
      </w:r>
      <w:r w:rsidR="00134C85" w:rsidRPr="00B23D37">
        <w:t xml:space="preserve">out-of-scope </w:t>
      </w:r>
      <w:r w:rsidRPr="00B23D37">
        <w:t>services are not within the original Scope of Services and additional work effort is required,</w:t>
      </w:r>
    </w:p>
    <w:p w14:paraId="2F055354" w14:textId="77777777" w:rsidR="00F7566F" w:rsidRPr="00B23D37" w:rsidRDefault="00F7566F" w:rsidP="000E581F">
      <w:pPr>
        <w:pStyle w:val="Heading2"/>
      </w:pPr>
      <w:r w:rsidRPr="00B23D37">
        <w:t xml:space="preserve">An estimate of the cost to complete the </w:t>
      </w:r>
      <w:r w:rsidR="00134C85" w:rsidRPr="00B23D37">
        <w:t>out-of-scope s</w:t>
      </w:r>
      <w:r w:rsidRPr="00B23D37">
        <w:t xml:space="preserve">ervices.  Consultant must receive written approval from State before proceeding with the </w:t>
      </w:r>
      <w:r w:rsidR="00134C85" w:rsidRPr="00B23D37">
        <w:t>out-of-scope s</w:t>
      </w:r>
      <w:r w:rsidRPr="00B23D37">
        <w:t xml:space="preserve">ervices.  Before written approval will be given by State, State must determine that the situation meets the following criteria:  </w:t>
      </w:r>
    </w:p>
    <w:p w14:paraId="7A5A8CB6" w14:textId="77777777" w:rsidR="00F7566F" w:rsidRPr="00B23D37" w:rsidRDefault="00F7566F" w:rsidP="000E581F">
      <w:pPr>
        <w:pStyle w:val="Heading3"/>
      </w:pPr>
      <w:r w:rsidRPr="00B23D37">
        <w:t xml:space="preserve">The </w:t>
      </w:r>
      <w:r w:rsidR="00134C85" w:rsidRPr="00B23D37">
        <w:t xml:space="preserve">out-of-scope </w:t>
      </w:r>
      <w:r w:rsidRPr="00B23D37">
        <w:t xml:space="preserve">services are not within the original Scope of Services and </w:t>
      </w:r>
      <w:r w:rsidR="00134C85" w:rsidRPr="00B23D37">
        <w:t>a</w:t>
      </w:r>
      <w:r w:rsidRPr="00B23D37">
        <w:t>dditional work effort is required;</w:t>
      </w:r>
    </w:p>
    <w:p w14:paraId="7ED52217" w14:textId="26040114" w:rsidR="00F7566F" w:rsidRPr="00B23D37" w:rsidRDefault="00F7566F" w:rsidP="000E581F">
      <w:pPr>
        <w:pStyle w:val="Heading3"/>
      </w:pPr>
      <w:r w:rsidRPr="00B23D37">
        <w:t xml:space="preserve">The </w:t>
      </w:r>
      <w:r w:rsidR="00134C85" w:rsidRPr="00B23D37">
        <w:t xml:space="preserve">out-of-scope </w:t>
      </w:r>
      <w:r w:rsidRPr="00B23D37">
        <w:t>services are within the</w:t>
      </w:r>
      <w:r w:rsidR="00134C85" w:rsidRPr="00B23D37">
        <w:t xml:space="preserve"> basic</w:t>
      </w:r>
      <w:r w:rsidRPr="00B23D37">
        <w:t xml:space="preserve"> scope of </w:t>
      </w:r>
      <w:r w:rsidR="00134C85" w:rsidRPr="00B23D37">
        <w:t>services u</w:t>
      </w:r>
      <w:r w:rsidRPr="00B23D37">
        <w:t xml:space="preserve">nder which Consultant was selected and Agreement </w:t>
      </w:r>
      <w:r w:rsidR="008B34EE" w:rsidRPr="00B23D37">
        <w:t>entered</w:t>
      </w:r>
      <w:r w:rsidRPr="00B23D37">
        <w:t>; and</w:t>
      </w:r>
    </w:p>
    <w:p w14:paraId="5189D5D9" w14:textId="77777777" w:rsidR="00F7566F" w:rsidRPr="00B23D37" w:rsidRDefault="00F7566F" w:rsidP="000E581F">
      <w:pPr>
        <w:pStyle w:val="Heading3"/>
      </w:pPr>
      <w:r w:rsidRPr="00B23D37">
        <w:t xml:space="preserve">It is in the best interest of State that the </w:t>
      </w:r>
      <w:r w:rsidR="00134C85" w:rsidRPr="00B23D37">
        <w:t xml:space="preserve">out-of-scope </w:t>
      </w:r>
      <w:r w:rsidRPr="00B23D37">
        <w:t>services be performed under this Agreement.</w:t>
      </w:r>
    </w:p>
    <w:p w14:paraId="2FDDCBA9" w14:textId="77777777" w:rsidR="00F7566F" w:rsidRPr="00B23D37" w:rsidRDefault="00F7566F" w:rsidP="00775298">
      <w:pPr>
        <w:keepNext/>
        <w:keepLines/>
        <w:widowControl w:val="0"/>
        <w:spacing w:line="360" w:lineRule="auto"/>
        <w:ind w:left="720"/>
        <w:rPr>
          <w:rFonts w:cs="Arial"/>
          <w:szCs w:val="22"/>
        </w:rPr>
      </w:pPr>
      <w:r w:rsidRPr="00B23D37">
        <w:rPr>
          <w:rFonts w:cs="Arial"/>
          <w:szCs w:val="22"/>
        </w:rPr>
        <w:t xml:space="preserve">Once the need for a modification </w:t>
      </w:r>
      <w:r w:rsidR="00134C85" w:rsidRPr="00B23D37">
        <w:rPr>
          <w:rFonts w:cs="Arial"/>
          <w:szCs w:val="22"/>
        </w:rPr>
        <w:t xml:space="preserve">to the Agreement </w:t>
      </w:r>
      <w:r w:rsidRPr="00B23D37">
        <w:rPr>
          <w:rFonts w:cs="Arial"/>
          <w:szCs w:val="22"/>
        </w:rPr>
        <w:t xml:space="preserve">has been established, the State will prepare a supplemental agreement.  If the additional work requires the Consultant to incur costs prior to execution of a supplemental agreement, the </w:t>
      </w:r>
      <w:r w:rsidRPr="00B23D37">
        <w:rPr>
          <w:rFonts w:cs="Arial"/>
          <w:snapToGrid w:val="0"/>
          <w:szCs w:val="22"/>
        </w:rPr>
        <w:t xml:space="preserve">State may issue a written notice to proceed prior to completing the supplemental agreement (for non-Federal aid projects) or </w:t>
      </w:r>
      <w:r w:rsidRPr="00B23D37">
        <w:rPr>
          <w:rFonts w:cs="Arial"/>
          <w:szCs w:val="22"/>
        </w:rPr>
        <w:t xml:space="preserve">shall use the process set out below (for Federal aid PE projects): </w:t>
      </w:r>
    </w:p>
    <w:p w14:paraId="6ADAE676" w14:textId="77777777" w:rsidR="00F7566F" w:rsidRPr="00B23D37" w:rsidRDefault="00F7566F" w:rsidP="0089735F">
      <w:pPr>
        <w:pStyle w:val="ListParagraph"/>
        <w:widowControl w:val="0"/>
        <w:tabs>
          <w:tab w:val="left" w:pos="1260"/>
        </w:tabs>
        <w:spacing w:line="360" w:lineRule="auto"/>
        <w:ind w:left="1260"/>
        <w:contextualSpacing w:val="0"/>
        <w:jc w:val="left"/>
        <w:rPr>
          <w:rFonts w:ascii="Arial" w:hAnsi="Arial" w:cs="Arial"/>
          <w:b/>
          <w:snapToGrid w:val="0"/>
          <w:color w:val="984806"/>
          <w:sz w:val="22"/>
          <w:szCs w:val="22"/>
        </w:rPr>
      </w:pPr>
      <w:r w:rsidRPr="00B23D37">
        <w:rPr>
          <w:rFonts w:ascii="Arial" w:hAnsi="Arial" w:cs="Arial"/>
          <w:sz w:val="22"/>
          <w:szCs w:val="22"/>
        </w:rPr>
        <w:t xml:space="preserve">The Consultant Work Order (CWO) – </w:t>
      </w:r>
      <w:r w:rsidR="008A1479" w:rsidRPr="00B23D37">
        <w:rPr>
          <w:rFonts w:ascii="Arial" w:hAnsi="Arial" w:cs="Arial"/>
          <w:sz w:val="22"/>
          <w:szCs w:val="22"/>
        </w:rPr>
        <w:t>NDOT</w:t>
      </w:r>
      <w:r w:rsidRPr="00B23D37">
        <w:rPr>
          <w:rFonts w:ascii="Arial" w:hAnsi="Arial" w:cs="Arial"/>
          <w:sz w:val="22"/>
          <w:szCs w:val="22"/>
        </w:rPr>
        <w:t xml:space="preserve"> Form 251 shall be used to describe and provide necessary justification for the additional scope of services, effort, the deliverables, modification of schedule, and to document the cost of additional services.  The CWO form is available on the </w:t>
      </w:r>
      <w:r w:rsidR="00687101" w:rsidRPr="00B23D37">
        <w:rPr>
          <w:rFonts w:ascii="Arial" w:hAnsi="Arial" w:cs="Arial"/>
          <w:sz w:val="22"/>
          <w:szCs w:val="22"/>
        </w:rPr>
        <w:t>State’s</w:t>
      </w:r>
      <w:r w:rsidRPr="00B23D37">
        <w:rPr>
          <w:rFonts w:ascii="Arial" w:hAnsi="Arial" w:cs="Arial"/>
          <w:sz w:val="22"/>
          <w:szCs w:val="22"/>
        </w:rPr>
        <w:t xml:space="preserve"> website at </w:t>
      </w:r>
      <w:hyperlink r:id="rId18" w:history="1">
        <w:r w:rsidR="00687101" w:rsidRPr="00B23D37">
          <w:rPr>
            <w:rStyle w:val="Hyperlink"/>
            <w:rFonts w:ascii="Arial" w:hAnsi="Arial" w:cs="Arial"/>
            <w:sz w:val="22"/>
            <w:szCs w:val="22"/>
          </w:rPr>
          <w:t>http://dot.nebraska.gov/business-center/consultant/</w:t>
        </w:r>
      </w:hyperlink>
      <w:r w:rsidRPr="00B23D37">
        <w:rPr>
          <w:rFonts w:ascii="Arial" w:hAnsi="Arial" w:cs="Arial"/>
          <w:sz w:val="22"/>
          <w:szCs w:val="22"/>
        </w:rPr>
        <w:t xml:space="preserve">.  The CWO must be executed to provide authorization for the additional work and to specify when that work may begin.  The agreement will be supplemented after one or more CWOs have been authorized and approved for funding.  </w:t>
      </w:r>
    </w:p>
    <w:p w14:paraId="6AC8356D" w14:textId="3F125FE0" w:rsidR="00991A76" w:rsidRPr="00B23D37" w:rsidRDefault="00991A76" w:rsidP="00316742">
      <w:pPr>
        <w:pStyle w:val="Heading1"/>
      </w:pPr>
      <w:r w:rsidRPr="00B23D37">
        <w:t>TERMINATION COST ADJUSTMENT</w:t>
      </w:r>
    </w:p>
    <w:p w14:paraId="1DB67A7B" w14:textId="77777777" w:rsidR="00991A76" w:rsidRPr="00B23D37" w:rsidRDefault="00991A76" w:rsidP="00316742">
      <w:pPr>
        <w:pStyle w:val="ListParagraph"/>
        <w:spacing w:line="360" w:lineRule="auto"/>
        <w:ind w:left="450" w:hanging="450"/>
        <w:jc w:val="left"/>
        <w:rPr>
          <w:rFonts w:ascii="Arial" w:hAnsi="Arial" w:cs="Arial"/>
          <w:snapToGrid w:val="0"/>
          <w:sz w:val="22"/>
          <w:szCs w:val="22"/>
        </w:rPr>
      </w:pPr>
      <w:r w:rsidRPr="00B23D37">
        <w:rPr>
          <w:rFonts w:ascii="Arial" w:hAnsi="Arial" w:cs="Arial"/>
          <w:sz w:val="22"/>
          <w:szCs w:val="22"/>
        </w:rPr>
        <w:tab/>
        <w:t>If the Agreement is terminated prior to project completion, State will compare the percentage of work actually completed by Consultant, to the total amount of work contemplated by this Agreement.  This comparison will result in a payment by the State for any underpayment, no adjustment, or a billing to Consultant for overpayment.  The State's final audit may result in an additional cost adjustment.</w:t>
      </w:r>
    </w:p>
    <w:p w14:paraId="7C85791A" w14:textId="56F8D36B" w:rsidR="0092352C" w:rsidRPr="00775298" w:rsidRDefault="00991A76" w:rsidP="00316742">
      <w:pPr>
        <w:pStyle w:val="Heading1"/>
        <w:rPr>
          <w:shd w:val="clear" w:color="auto" w:fill="D9D9D9"/>
        </w:rPr>
      </w:pPr>
      <w:r w:rsidRPr="00316742">
        <w:rPr>
          <w:rStyle w:val="Heading1Char"/>
          <w:b/>
          <w:bCs/>
        </w:rPr>
        <w:t>AUDIT</w:t>
      </w:r>
      <w:r w:rsidRPr="00316742">
        <w:rPr>
          <w:b w:val="0"/>
          <w:bCs/>
        </w:rPr>
        <w:t xml:space="preserve"> </w:t>
      </w:r>
      <w:r w:rsidRPr="00B23D37">
        <w:t>AND FINAL COST ADJUSTMENT</w:t>
      </w:r>
      <w:r w:rsidR="00432FE8" w:rsidRPr="00B23D37">
        <w:t xml:space="preserve"> </w:t>
      </w:r>
    </w:p>
    <w:p w14:paraId="2783D208" w14:textId="77777777" w:rsidR="00991A76" w:rsidRPr="00B23D37" w:rsidRDefault="00991A76" w:rsidP="00316742">
      <w:pPr>
        <w:pStyle w:val="ListParagraph"/>
        <w:spacing w:line="360" w:lineRule="auto"/>
        <w:ind w:left="450"/>
        <w:jc w:val="left"/>
        <w:rPr>
          <w:rFonts w:ascii="Arial" w:hAnsi="Arial" w:cs="Arial"/>
          <w:sz w:val="22"/>
          <w:szCs w:val="22"/>
        </w:rPr>
      </w:pPr>
      <w:r w:rsidRPr="00B23D37">
        <w:rPr>
          <w:rFonts w:ascii="Arial" w:hAnsi="Arial" w:cs="Arial"/>
          <w:sz w:val="22"/>
          <w:szCs w:val="22"/>
        </w:rPr>
        <w:t xml:space="preserve">Upon </w:t>
      </w:r>
      <w:r w:rsidRPr="00B23D37">
        <w:rPr>
          <w:rFonts w:ascii="Arial" w:hAnsi="Arial" w:cs="Arial"/>
          <w:snapToGrid w:val="0"/>
          <w:sz w:val="22"/>
          <w:szCs w:val="22"/>
        </w:rPr>
        <w:t>State's determination that Consultant has completed Services under this Agreement,</w:t>
      </w:r>
      <w:r w:rsidRPr="00B23D37">
        <w:rPr>
          <w:rFonts w:ascii="Arial" w:hAnsi="Arial" w:cs="Arial"/>
          <w:sz w:val="22"/>
          <w:szCs w:val="22"/>
        </w:rPr>
        <w:t xml:space="preserve"> State, or its authorized representative, may complete an audit review of the payments made under this </w:t>
      </w:r>
      <w:r w:rsidRPr="00B23D37">
        <w:rPr>
          <w:rFonts w:ascii="Arial" w:hAnsi="Arial" w:cs="Arial"/>
          <w:snapToGrid w:val="0"/>
          <w:sz w:val="22"/>
          <w:szCs w:val="22"/>
        </w:rPr>
        <w:t>Agreement</w:t>
      </w:r>
      <w:r w:rsidRPr="00B23D37">
        <w:rPr>
          <w:rFonts w:ascii="Arial" w:hAnsi="Arial" w:cs="Arial"/>
          <w:sz w:val="22"/>
          <w:szCs w:val="22"/>
        </w:rPr>
        <w:t xml:space="preserve">.  The Parties understand that the audit may require an adjustment of the payments made under this </w:t>
      </w:r>
      <w:r w:rsidRPr="00B23D37">
        <w:rPr>
          <w:rFonts w:ascii="Arial" w:hAnsi="Arial" w:cs="Arial"/>
          <w:snapToGrid w:val="0"/>
          <w:sz w:val="22"/>
          <w:szCs w:val="22"/>
        </w:rPr>
        <w:t xml:space="preserve">Agreement. </w:t>
      </w:r>
      <w:r w:rsidRPr="00B23D37">
        <w:rPr>
          <w:rFonts w:ascii="Arial" w:hAnsi="Arial" w:cs="Arial"/>
          <w:sz w:val="22"/>
          <w:szCs w:val="22"/>
        </w:rPr>
        <w:t xml:space="preserve"> Consultant agrees to reimburse State for any overpayments identified in the audit review, and State agrees to pay Consultant for any identified underpayments.</w:t>
      </w:r>
      <w:r w:rsidR="0092352C" w:rsidRPr="00B23D37">
        <w:rPr>
          <w:rFonts w:ascii="Arial" w:hAnsi="Arial" w:cs="Arial"/>
          <w:sz w:val="22"/>
          <w:szCs w:val="22"/>
        </w:rPr>
        <w:t xml:space="preserve"> </w:t>
      </w:r>
    </w:p>
    <w:p w14:paraId="071D52DA" w14:textId="276E0744" w:rsidR="00991A76" w:rsidRPr="00B23D37" w:rsidRDefault="00991A76" w:rsidP="00316742">
      <w:pPr>
        <w:pStyle w:val="Heading1"/>
      </w:pPr>
      <w:r w:rsidRPr="00B23D37">
        <w:t>CONSULTANT COST RECORD RETENTION</w:t>
      </w:r>
    </w:p>
    <w:p w14:paraId="467ECBDC" w14:textId="40FCA2FF" w:rsidR="00246978" w:rsidRPr="00B23D37" w:rsidRDefault="00991A76" w:rsidP="00316742">
      <w:pPr>
        <w:spacing w:line="360" w:lineRule="auto"/>
        <w:ind w:left="450"/>
        <w:rPr>
          <w:rFonts w:cs="Arial"/>
          <w:snapToGrid w:val="0"/>
          <w:szCs w:val="22"/>
        </w:rPr>
      </w:pPr>
      <w:r w:rsidRPr="00B23D37">
        <w:rPr>
          <w:rFonts w:cs="Arial"/>
          <w:snapToGrid w:val="0"/>
          <w:szCs w:val="22"/>
        </w:rPr>
        <w:t>Consultant</w:t>
      </w:r>
      <w:r w:rsidR="00040070" w:rsidRPr="00B23D37">
        <w:rPr>
          <w:rFonts w:cs="Arial"/>
          <w:snapToGrid w:val="0"/>
          <w:szCs w:val="22"/>
        </w:rPr>
        <w:t>,</w:t>
      </w:r>
      <w:r w:rsidR="002A4116" w:rsidRPr="00B23D37">
        <w:rPr>
          <w:rFonts w:cs="Arial"/>
          <w:snapToGrid w:val="0"/>
          <w:szCs w:val="22"/>
        </w:rPr>
        <w:t xml:space="preserve"> </w:t>
      </w:r>
      <w:r w:rsidRPr="00B23D37">
        <w:rPr>
          <w:rFonts w:cs="Arial"/>
          <w:snapToGrid w:val="0"/>
          <w:szCs w:val="22"/>
        </w:rPr>
        <w:t>and</w:t>
      </w:r>
      <w:r w:rsidR="005D3EA6" w:rsidRPr="00B23D37">
        <w:rPr>
          <w:rFonts w:cs="Arial"/>
          <w:snapToGrid w:val="0"/>
          <w:szCs w:val="22"/>
        </w:rPr>
        <w:t xml:space="preserve"> all </w:t>
      </w:r>
      <w:r w:rsidRPr="00B23D37">
        <w:rPr>
          <w:rFonts w:cs="Arial"/>
          <w:snapToGrid w:val="0"/>
          <w:szCs w:val="22"/>
        </w:rPr>
        <w:t xml:space="preserve">its </w:t>
      </w:r>
      <w:r w:rsidR="005D3EA6" w:rsidRPr="00B23D37">
        <w:rPr>
          <w:rFonts w:cs="Arial"/>
          <w:snapToGrid w:val="0"/>
          <w:szCs w:val="22"/>
        </w:rPr>
        <w:t>s</w:t>
      </w:r>
      <w:r w:rsidRPr="00B23D37">
        <w:rPr>
          <w:rFonts w:cs="Arial"/>
          <w:snapToGrid w:val="0"/>
          <w:szCs w:val="22"/>
        </w:rPr>
        <w:t>ubconsultants</w:t>
      </w:r>
      <w:r w:rsidR="005D3EA6" w:rsidRPr="00B23D37">
        <w:rPr>
          <w:rFonts w:cs="Arial"/>
          <w:snapToGrid w:val="0"/>
          <w:szCs w:val="22"/>
        </w:rPr>
        <w:t xml:space="preserve"> or s</w:t>
      </w:r>
      <w:r w:rsidRPr="00B23D37">
        <w:rPr>
          <w:rFonts w:cs="Arial"/>
          <w:snapToGrid w:val="0"/>
          <w:szCs w:val="22"/>
        </w:rPr>
        <w:t>ubcontractors</w:t>
      </w:r>
      <w:r w:rsidR="005D3EA6" w:rsidRPr="00B23D37">
        <w:rPr>
          <w:rFonts w:cs="Arial"/>
          <w:snapToGrid w:val="0"/>
          <w:szCs w:val="22"/>
        </w:rPr>
        <w:t>,</w:t>
      </w:r>
      <w:r w:rsidR="00040070" w:rsidRPr="00B23D37">
        <w:rPr>
          <w:rFonts w:cs="Arial"/>
          <w:snapToGrid w:val="0"/>
          <w:szCs w:val="22"/>
        </w:rPr>
        <w:t xml:space="preserve"> shall</w:t>
      </w:r>
      <w:r w:rsidRPr="00B23D37">
        <w:rPr>
          <w:rFonts w:cs="Arial"/>
          <w:snapToGrid w:val="0"/>
          <w:szCs w:val="22"/>
        </w:rPr>
        <w:t xml:space="preserve"> maintain</w:t>
      </w:r>
      <w:r w:rsidR="005D3EA6" w:rsidRPr="00B23D37">
        <w:rPr>
          <w:rFonts w:cs="Arial"/>
          <w:snapToGrid w:val="0"/>
          <w:szCs w:val="22"/>
        </w:rPr>
        <w:t xml:space="preserve"> </w:t>
      </w:r>
      <w:r w:rsidR="007B2E58" w:rsidRPr="00B23D37">
        <w:rPr>
          <w:rFonts w:cs="Arial"/>
          <w:snapToGrid w:val="0"/>
          <w:szCs w:val="22"/>
        </w:rPr>
        <w:t xml:space="preserve">originals or </w:t>
      </w:r>
      <w:r w:rsidR="005D3EA6" w:rsidRPr="00B23D37">
        <w:rPr>
          <w:rFonts w:cs="Arial"/>
          <w:snapToGrid w:val="0"/>
          <w:szCs w:val="22"/>
        </w:rPr>
        <w:t>copies of any document required to be completed in this Agreement</w:t>
      </w:r>
      <w:r w:rsidR="007B2E58" w:rsidRPr="00B23D37">
        <w:rPr>
          <w:rFonts w:cs="Arial"/>
          <w:snapToGrid w:val="0"/>
          <w:szCs w:val="22"/>
        </w:rPr>
        <w:t>,</w:t>
      </w:r>
      <w:r w:rsidR="005D3EA6" w:rsidRPr="00B23D37">
        <w:rPr>
          <w:rFonts w:cs="Arial"/>
          <w:snapToGrid w:val="0"/>
          <w:szCs w:val="22"/>
        </w:rPr>
        <w:t xml:space="preserve"> th</w:t>
      </w:r>
      <w:r w:rsidR="007B2E58" w:rsidRPr="00B23D37">
        <w:rPr>
          <w:rFonts w:cs="Arial"/>
          <w:snapToGrid w:val="0"/>
          <w:szCs w:val="22"/>
        </w:rPr>
        <w:t>at substantiate any expense</w:t>
      </w:r>
      <w:r w:rsidR="00246978" w:rsidRPr="00B23D37">
        <w:rPr>
          <w:rFonts w:cs="Arial"/>
          <w:snapToGrid w:val="0"/>
          <w:szCs w:val="22"/>
        </w:rPr>
        <w:t xml:space="preserve"> incurred, or changes any legal obligations</w:t>
      </w:r>
      <w:r w:rsidR="005D3EA6" w:rsidRPr="00B23D37">
        <w:rPr>
          <w:rFonts w:cs="Arial"/>
          <w:snapToGrid w:val="0"/>
          <w:szCs w:val="22"/>
        </w:rPr>
        <w:t xml:space="preserve"> for three (3) years from the date of</w:t>
      </w:r>
      <w:r w:rsidR="005D3EA6" w:rsidRPr="00502D23">
        <w:rPr>
          <w:rFonts w:cs="Arial"/>
          <w:snapToGrid w:val="0"/>
          <w:szCs w:val="22"/>
        </w:rPr>
        <w:t xml:space="preserve"> </w:t>
      </w:r>
      <w:r w:rsidR="005D3EA6" w:rsidRPr="00B23D37">
        <w:rPr>
          <w:rFonts w:cs="Arial"/>
          <w:snapToGrid w:val="0"/>
          <w:szCs w:val="22"/>
          <w:highlight w:val="lightGray"/>
        </w:rPr>
        <w:t>WHEN FEDERAL FUNDS USED IN PE</w:t>
      </w:r>
      <w:r w:rsidR="005D3EA6" w:rsidRPr="00B23D37">
        <w:rPr>
          <w:rFonts w:cs="Arial"/>
          <w:snapToGrid w:val="0"/>
          <w:szCs w:val="22"/>
        </w:rPr>
        <w:t xml:space="preserve"> final cost settlement by FHWA and </w:t>
      </w:r>
      <w:r w:rsidR="005D3EA6" w:rsidRPr="00B23D37">
        <w:rPr>
          <w:rFonts w:cs="Arial"/>
          <w:snapToGrid w:val="0"/>
          <w:szCs w:val="22"/>
          <w:highlight w:val="lightGray"/>
        </w:rPr>
        <w:t>END USE WHEN FEDERAL FUNDS USED IN PE</w:t>
      </w:r>
      <w:r w:rsidR="00502D23">
        <w:rPr>
          <w:rFonts w:cs="Arial"/>
          <w:snapToGrid w:val="0"/>
          <w:szCs w:val="22"/>
        </w:rPr>
        <w:t xml:space="preserve"> p</w:t>
      </w:r>
      <w:r w:rsidR="007B2E58" w:rsidRPr="00B23D37">
        <w:rPr>
          <w:rFonts w:cs="Arial"/>
          <w:snapToGrid w:val="0"/>
          <w:szCs w:val="22"/>
        </w:rPr>
        <w:t xml:space="preserve">roject closeout by the State. </w:t>
      </w:r>
    </w:p>
    <w:p w14:paraId="0DE8CFC0" w14:textId="5BACEF13" w:rsidR="00246978" w:rsidRPr="00B23D37" w:rsidRDefault="007B2E58" w:rsidP="00316742">
      <w:pPr>
        <w:spacing w:line="360" w:lineRule="auto"/>
        <w:ind w:left="450"/>
        <w:rPr>
          <w:rFonts w:cs="Arial"/>
          <w:snapToGrid w:val="0"/>
          <w:szCs w:val="22"/>
        </w:rPr>
      </w:pPr>
      <w:r w:rsidRPr="00B23D37">
        <w:rPr>
          <w:rFonts w:cs="Arial"/>
          <w:snapToGrid w:val="0"/>
          <w:szCs w:val="22"/>
        </w:rPr>
        <w:t>Documents include</w:t>
      </w:r>
      <w:r w:rsidR="00F05FFF" w:rsidRPr="00B23D37">
        <w:rPr>
          <w:rFonts w:cs="Arial"/>
          <w:snapToGrid w:val="0"/>
          <w:szCs w:val="22"/>
        </w:rPr>
        <w:t>,</w:t>
      </w:r>
      <w:r w:rsidR="005D3EA6" w:rsidRPr="00B23D37">
        <w:rPr>
          <w:rFonts w:cs="Arial"/>
          <w:snapToGrid w:val="0"/>
          <w:szCs w:val="22"/>
        </w:rPr>
        <w:t xml:space="preserve"> but </w:t>
      </w:r>
      <w:r w:rsidR="00F05FFF" w:rsidRPr="00B23D37">
        <w:rPr>
          <w:rFonts w:cs="Arial"/>
          <w:snapToGrid w:val="0"/>
          <w:szCs w:val="22"/>
        </w:rPr>
        <w:t>are</w:t>
      </w:r>
      <w:r w:rsidR="005D3EA6" w:rsidRPr="00B23D37">
        <w:rPr>
          <w:rFonts w:cs="Arial"/>
          <w:snapToGrid w:val="0"/>
          <w:szCs w:val="22"/>
        </w:rPr>
        <w:t xml:space="preserve"> not limited to</w:t>
      </w:r>
      <w:r w:rsidR="00F05FFF" w:rsidRPr="00B23D37">
        <w:rPr>
          <w:rFonts w:cs="Arial"/>
          <w:snapToGrid w:val="0"/>
          <w:szCs w:val="22"/>
        </w:rPr>
        <w:t>:</w:t>
      </w:r>
      <w:r w:rsidR="00991A76" w:rsidRPr="00B23D37">
        <w:rPr>
          <w:rFonts w:cs="Arial"/>
          <w:snapToGrid w:val="0"/>
          <w:szCs w:val="22"/>
        </w:rPr>
        <w:t xml:space="preserve"> </w:t>
      </w:r>
      <w:r w:rsidR="003643F8" w:rsidRPr="00B23D37">
        <w:rPr>
          <w:rFonts w:cs="Arial"/>
          <w:snapToGrid w:val="0"/>
          <w:szCs w:val="22"/>
        </w:rPr>
        <w:t>written approvals</w:t>
      </w:r>
      <w:r w:rsidR="00F05FFF" w:rsidRPr="00B23D37">
        <w:rPr>
          <w:rFonts w:cs="Arial"/>
          <w:snapToGrid w:val="0"/>
          <w:szCs w:val="22"/>
        </w:rPr>
        <w:t>;</w:t>
      </w:r>
      <w:r w:rsidR="003643F8" w:rsidRPr="00B23D37">
        <w:rPr>
          <w:rFonts w:cs="Arial"/>
          <w:snapToGrid w:val="0"/>
          <w:szCs w:val="22"/>
        </w:rPr>
        <w:t xml:space="preserve"> </w:t>
      </w:r>
      <w:r w:rsidR="005D3EA6" w:rsidRPr="00B23D37">
        <w:rPr>
          <w:rFonts w:cs="Arial"/>
          <w:snapToGrid w:val="0"/>
          <w:szCs w:val="22"/>
        </w:rPr>
        <w:t>time reports</w:t>
      </w:r>
      <w:r w:rsidR="00F05FFF" w:rsidRPr="00B23D37">
        <w:rPr>
          <w:rFonts w:cs="Arial"/>
          <w:snapToGrid w:val="0"/>
          <w:szCs w:val="22"/>
        </w:rPr>
        <w:t>;</w:t>
      </w:r>
      <w:r w:rsidR="005D3EA6" w:rsidRPr="00B23D37">
        <w:rPr>
          <w:rFonts w:cs="Arial"/>
          <w:snapToGrid w:val="0"/>
          <w:szCs w:val="22"/>
        </w:rPr>
        <w:t xml:space="preserve"> detailed receipts</w:t>
      </w:r>
      <w:r w:rsidR="00F05FFF" w:rsidRPr="00B23D37">
        <w:rPr>
          <w:rFonts w:cs="Arial"/>
          <w:snapToGrid w:val="0"/>
          <w:szCs w:val="22"/>
        </w:rPr>
        <w:t>;</w:t>
      </w:r>
      <w:r w:rsidR="005D3EA6" w:rsidRPr="00B23D37">
        <w:rPr>
          <w:rFonts w:cs="Arial"/>
          <w:snapToGrid w:val="0"/>
          <w:szCs w:val="22"/>
        </w:rPr>
        <w:t xml:space="preserve"> invoices</w:t>
      </w:r>
      <w:r w:rsidR="00F05FFF" w:rsidRPr="00B23D37">
        <w:rPr>
          <w:rFonts w:cs="Arial"/>
          <w:snapToGrid w:val="0"/>
          <w:szCs w:val="22"/>
        </w:rPr>
        <w:t>;</w:t>
      </w:r>
      <w:r w:rsidR="005D3EA6" w:rsidRPr="00B23D37">
        <w:rPr>
          <w:rFonts w:cs="Arial"/>
          <w:snapToGrid w:val="0"/>
          <w:szCs w:val="22"/>
        </w:rPr>
        <w:t xml:space="preserve"> transportation</w:t>
      </w:r>
      <w:r w:rsidRPr="00B23D37">
        <w:rPr>
          <w:rFonts w:cs="Arial"/>
          <w:snapToGrid w:val="0"/>
          <w:szCs w:val="22"/>
        </w:rPr>
        <w:t xml:space="preserve"> costs</w:t>
      </w:r>
      <w:r w:rsidR="00F05FFF" w:rsidRPr="00B23D37">
        <w:rPr>
          <w:rFonts w:cs="Arial"/>
          <w:snapToGrid w:val="0"/>
          <w:szCs w:val="22"/>
        </w:rPr>
        <w:t>;</w:t>
      </w:r>
      <w:r w:rsidR="005D3EA6" w:rsidRPr="00B23D37">
        <w:rPr>
          <w:rFonts w:cs="Arial"/>
          <w:snapToGrid w:val="0"/>
          <w:szCs w:val="22"/>
        </w:rPr>
        <w:t xml:space="preserve"> mileage</w:t>
      </w:r>
      <w:r w:rsidR="00F05FFF" w:rsidRPr="00B23D37">
        <w:rPr>
          <w:rFonts w:cs="Arial"/>
          <w:snapToGrid w:val="0"/>
          <w:szCs w:val="22"/>
        </w:rPr>
        <w:t>;</w:t>
      </w:r>
      <w:r w:rsidR="005D3EA6" w:rsidRPr="00B23D37">
        <w:rPr>
          <w:rFonts w:cs="Arial"/>
          <w:snapToGrid w:val="0"/>
          <w:szCs w:val="22"/>
        </w:rPr>
        <w:t xml:space="preserve"> lodging</w:t>
      </w:r>
      <w:r w:rsidRPr="00B23D37">
        <w:rPr>
          <w:rFonts w:cs="Arial"/>
          <w:snapToGrid w:val="0"/>
          <w:szCs w:val="22"/>
        </w:rPr>
        <w:t xml:space="preserve"> costs</w:t>
      </w:r>
      <w:r w:rsidR="00F05FFF" w:rsidRPr="00B23D37">
        <w:rPr>
          <w:rFonts w:cs="Arial"/>
          <w:snapToGrid w:val="0"/>
          <w:szCs w:val="22"/>
        </w:rPr>
        <w:t>;</w:t>
      </w:r>
      <w:r w:rsidR="005D3EA6" w:rsidRPr="00B23D37">
        <w:rPr>
          <w:rFonts w:cs="Arial"/>
          <w:snapToGrid w:val="0"/>
          <w:szCs w:val="22"/>
        </w:rPr>
        <w:t xml:space="preserve"> all NDOT forms</w:t>
      </w:r>
      <w:r w:rsidR="00F05FFF" w:rsidRPr="00B23D37">
        <w:rPr>
          <w:rFonts w:cs="Arial"/>
          <w:snapToGrid w:val="0"/>
          <w:szCs w:val="22"/>
        </w:rPr>
        <w:t xml:space="preserve"> including</w:t>
      </w:r>
      <w:r w:rsidR="005D3EA6" w:rsidRPr="00B23D37">
        <w:rPr>
          <w:rFonts w:cs="Arial"/>
          <w:snapToGrid w:val="0"/>
          <w:szCs w:val="22"/>
        </w:rPr>
        <w:t xml:space="preserve"> </w:t>
      </w:r>
      <w:r w:rsidRPr="00B23D37">
        <w:rPr>
          <w:rFonts w:cs="Arial"/>
          <w:snapToGrid w:val="0"/>
          <w:szCs w:val="22"/>
        </w:rPr>
        <w:t>NDOT cost breakdown form</w:t>
      </w:r>
      <w:r w:rsidR="00F05FFF" w:rsidRPr="00B23D37">
        <w:rPr>
          <w:rFonts w:cs="Arial"/>
          <w:snapToGrid w:val="0"/>
          <w:szCs w:val="22"/>
        </w:rPr>
        <w:t xml:space="preserve"> and</w:t>
      </w:r>
      <w:r w:rsidR="005D3EA6" w:rsidRPr="00B23D37">
        <w:rPr>
          <w:rFonts w:cs="Arial"/>
          <w:snapToGrid w:val="0"/>
          <w:szCs w:val="22"/>
        </w:rPr>
        <w:t xml:space="preserve"> </w:t>
      </w:r>
      <w:r w:rsidRPr="00B23D37">
        <w:rPr>
          <w:rFonts w:cs="Arial"/>
          <w:snapToGrid w:val="0"/>
          <w:szCs w:val="22"/>
        </w:rPr>
        <w:t>NDOT travel form</w:t>
      </w:r>
      <w:r w:rsidR="00F05FFF" w:rsidRPr="00B23D37">
        <w:rPr>
          <w:rFonts w:cs="Arial"/>
          <w:snapToGrid w:val="0"/>
          <w:szCs w:val="22"/>
        </w:rPr>
        <w:t>;</w:t>
      </w:r>
      <w:r w:rsidR="005D3EA6" w:rsidRPr="00B23D37">
        <w:rPr>
          <w:rFonts w:cs="Arial"/>
          <w:snapToGrid w:val="0"/>
          <w:szCs w:val="22"/>
        </w:rPr>
        <w:t xml:space="preserve"> </w:t>
      </w:r>
      <w:r w:rsidR="00991A76" w:rsidRPr="00B23D37">
        <w:rPr>
          <w:rFonts w:cs="Arial"/>
          <w:snapToGrid w:val="0"/>
          <w:szCs w:val="22"/>
        </w:rPr>
        <w:t>books</w:t>
      </w:r>
      <w:r w:rsidR="00F05FFF" w:rsidRPr="00B23D37">
        <w:rPr>
          <w:rFonts w:cs="Arial"/>
          <w:snapToGrid w:val="0"/>
          <w:szCs w:val="22"/>
        </w:rPr>
        <w:t>;</w:t>
      </w:r>
      <w:r w:rsidR="00991A76" w:rsidRPr="00B23D37">
        <w:rPr>
          <w:rFonts w:cs="Arial"/>
          <w:snapToGrid w:val="0"/>
          <w:szCs w:val="22"/>
        </w:rPr>
        <w:t xml:space="preserve"> papers</w:t>
      </w:r>
      <w:r w:rsidR="00F05FFF" w:rsidRPr="00B23D37">
        <w:rPr>
          <w:rFonts w:cs="Arial"/>
          <w:snapToGrid w:val="0"/>
          <w:szCs w:val="22"/>
        </w:rPr>
        <w:t>;</w:t>
      </w:r>
      <w:r w:rsidR="001B1081" w:rsidRPr="00B23D37">
        <w:rPr>
          <w:rFonts w:cs="Arial"/>
          <w:snapToGrid w:val="0"/>
          <w:szCs w:val="22"/>
        </w:rPr>
        <w:t xml:space="preserve"> </w:t>
      </w:r>
      <w:r w:rsidRPr="00B23D37">
        <w:rPr>
          <w:rFonts w:cs="Arial"/>
          <w:snapToGrid w:val="0"/>
          <w:szCs w:val="22"/>
        </w:rPr>
        <w:t>electronic mail</w:t>
      </w:r>
      <w:r w:rsidR="00F05FFF" w:rsidRPr="00B23D37">
        <w:rPr>
          <w:rFonts w:cs="Arial"/>
          <w:snapToGrid w:val="0"/>
          <w:szCs w:val="22"/>
        </w:rPr>
        <w:t>;</w:t>
      </w:r>
      <w:r w:rsidRPr="00B23D37">
        <w:rPr>
          <w:rFonts w:cs="Arial"/>
          <w:snapToGrid w:val="0"/>
          <w:szCs w:val="22"/>
        </w:rPr>
        <w:t xml:space="preserve"> letters</w:t>
      </w:r>
      <w:r w:rsidR="00F05FFF" w:rsidRPr="00B23D37">
        <w:rPr>
          <w:rFonts w:cs="Arial"/>
          <w:snapToGrid w:val="0"/>
          <w:szCs w:val="22"/>
        </w:rPr>
        <w:t>;</w:t>
      </w:r>
      <w:r w:rsidRPr="00B23D37">
        <w:rPr>
          <w:rFonts w:cs="Arial"/>
          <w:snapToGrid w:val="0"/>
          <w:szCs w:val="22"/>
        </w:rPr>
        <w:t xml:space="preserve"> </w:t>
      </w:r>
      <w:r w:rsidR="00991A76" w:rsidRPr="00B23D37">
        <w:rPr>
          <w:rFonts w:cs="Arial"/>
          <w:snapToGrid w:val="0"/>
          <w:szCs w:val="22"/>
        </w:rPr>
        <w:t>accounting records</w:t>
      </w:r>
      <w:r w:rsidR="00F05FFF" w:rsidRPr="00B23D37">
        <w:rPr>
          <w:rFonts w:cs="Arial"/>
          <w:snapToGrid w:val="0"/>
          <w:szCs w:val="22"/>
        </w:rPr>
        <w:t>;</w:t>
      </w:r>
      <w:r w:rsidRPr="00B23D37">
        <w:rPr>
          <w:rFonts w:cs="Arial"/>
          <w:snapToGrid w:val="0"/>
          <w:szCs w:val="22"/>
        </w:rPr>
        <w:t xml:space="preserve"> supplemental agreements</w:t>
      </w:r>
      <w:r w:rsidR="00F05FFF" w:rsidRPr="00B23D37">
        <w:rPr>
          <w:rFonts w:cs="Arial"/>
          <w:snapToGrid w:val="0"/>
          <w:szCs w:val="22"/>
        </w:rPr>
        <w:t>;</w:t>
      </w:r>
      <w:r w:rsidRPr="00B23D37">
        <w:rPr>
          <w:rFonts w:cs="Arial"/>
          <w:snapToGrid w:val="0"/>
          <w:szCs w:val="22"/>
        </w:rPr>
        <w:t xml:space="preserve"> work change orders</w:t>
      </w:r>
      <w:r w:rsidR="00F05FFF" w:rsidRPr="00B23D37">
        <w:rPr>
          <w:rFonts w:cs="Arial"/>
          <w:snapToGrid w:val="0"/>
          <w:szCs w:val="22"/>
        </w:rPr>
        <w:t>;</w:t>
      </w:r>
      <w:r w:rsidR="00991A76" w:rsidRPr="00B23D37">
        <w:rPr>
          <w:rFonts w:cs="Arial"/>
          <w:snapToGrid w:val="0"/>
          <w:szCs w:val="22"/>
        </w:rPr>
        <w:t xml:space="preserve"> </w:t>
      </w:r>
      <w:r w:rsidRPr="00B23D37">
        <w:rPr>
          <w:rFonts w:cs="Arial"/>
          <w:snapToGrid w:val="0"/>
          <w:szCs w:val="22"/>
        </w:rPr>
        <w:t>or</w:t>
      </w:r>
      <w:r w:rsidR="00991A76" w:rsidRPr="00B23D37">
        <w:rPr>
          <w:rFonts w:cs="Arial"/>
          <w:snapToGrid w:val="0"/>
          <w:szCs w:val="22"/>
        </w:rPr>
        <w:t xml:space="preserve"> other evidence pertaining to </w:t>
      </w:r>
      <w:r w:rsidRPr="00B23D37">
        <w:rPr>
          <w:rFonts w:cs="Arial"/>
          <w:snapToGrid w:val="0"/>
          <w:szCs w:val="22"/>
        </w:rPr>
        <w:t xml:space="preserve">any </w:t>
      </w:r>
      <w:r w:rsidR="00991A76" w:rsidRPr="00B23D37">
        <w:rPr>
          <w:rFonts w:cs="Arial"/>
          <w:snapToGrid w:val="0"/>
          <w:szCs w:val="22"/>
        </w:rPr>
        <w:t>cost incurred</w:t>
      </w:r>
      <w:r w:rsidR="005D3EA6" w:rsidRPr="00B23D37">
        <w:rPr>
          <w:rFonts w:cs="Arial"/>
          <w:snapToGrid w:val="0"/>
          <w:szCs w:val="22"/>
        </w:rPr>
        <w:t>.</w:t>
      </w:r>
      <w:r w:rsidR="00991A76" w:rsidRPr="00B23D37">
        <w:rPr>
          <w:rFonts w:cs="Arial"/>
          <w:snapToGrid w:val="0"/>
          <w:szCs w:val="22"/>
        </w:rPr>
        <w:t xml:space="preserve"> </w:t>
      </w:r>
    </w:p>
    <w:p w14:paraId="0B0035C9" w14:textId="5C49C3FC" w:rsidR="00BD4225" w:rsidRPr="00B23D37" w:rsidRDefault="00991A76" w:rsidP="00316742">
      <w:pPr>
        <w:spacing w:line="360" w:lineRule="auto"/>
        <w:ind w:left="450"/>
        <w:rPr>
          <w:rFonts w:cs="Arial"/>
          <w:snapToGrid w:val="0"/>
          <w:szCs w:val="22"/>
        </w:rPr>
      </w:pPr>
      <w:r w:rsidRPr="00B23D37">
        <w:rPr>
          <w:rFonts w:cs="Arial"/>
          <w:snapToGrid w:val="0"/>
          <w:szCs w:val="22"/>
        </w:rPr>
        <w:t xml:space="preserve">Such materials </w:t>
      </w:r>
      <w:r w:rsidR="00246978" w:rsidRPr="00B23D37">
        <w:rPr>
          <w:rFonts w:cs="Arial"/>
          <w:snapToGrid w:val="0"/>
          <w:szCs w:val="22"/>
        </w:rPr>
        <w:t>will</w:t>
      </w:r>
      <w:r w:rsidRPr="00B23D37">
        <w:rPr>
          <w:rFonts w:cs="Arial"/>
          <w:snapToGrid w:val="0"/>
          <w:szCs w:val="22"/>
        </w:rPr>
        <w:t xml:space="preserve"> be available for inspection by the State, FHWA, or any authorized representative of the federal governmen</w:t>
      </w:r>
      <w:r w:rsidR="007B2E58" w:rsidRPr="00B23D37">
        <w:rPr>
          <w:rFonts w:cs="Arial"/>
          <w:snapToGrid w:val="0"/>
          <w:szCs w:val="22"/>
        </w:rPr>
        <w:t>t, and</w:t>
      </w:r>
      <w:r w:rsidRPr="00B23D37">
        <w:rPr>
          <w:rFonts w:cs="Arial"/>
          <w:snapToGrid w:val="0"/>
          <w:szCs w:val="22"/>
        </w:rPr>
        <w:t xml:space="preserve"> copies</w:t>
      </w:r>
      <w:r w:rsidR="007B2E58" w:rsidRPr="00B23D37">
        <w:rPr>
          <w:rFonts w:cs="Arial"/>
          <w:snapToGrid w:val="0"/>
          <w:szCs w:val="22"/>
        </w:rPr>
        <w:t xml:space="preserve"> of any document(s)</w:t>
      </w:r>
      <w:r w:rsidR="00246978" w:rsidRPr="00B23D37">
        <w:rPr>
          <w:rFonts w:cs="Arial"/>
          <w:snapToGrid w:val="0"/>
          <w:szCs w:val="22"/>
        </w:rPr>
        <w:t xml:space="preserve"> will be </w:t>
      </w:r>
      <w:r w:rsidR="001E0F2C" w:rsidRPr="00B23D37">
        <w:rPr>
          <w:rFonts w:cs="Arial"/>
          <w:snapToGrid w:val="0"/>
          <w:szCs w:val="22"/>
        </w:rPr>
        <w:t>furnished</w:t>
      </w:r>
      <w:r w:rsidR="007B2E58" w:rsidRPr="00B23D37">
        <w:rPr>
          <w:rFonts w:cs="Arial"/>
          <w:snapToGrid w:val="0"/>
          <w:szCs w:val="22"/>
        </w:rPr>
        <w:t xml:space="preserve"> </w:t>
      </w:r>
      <w:r w:rsidR="00F05FFF" w:rsidRPr="00B23D37">
        <w:rPr>
          <w:rFonts w:cs="Arial"/>
          <w:snapToGrid w:val="0"/>
          <w:szCs w:val="22"/>
        </w:rPr>
        <w:t xml:space="preserve">when </w:t>
      </w:r>
      <w:r w:rsidR="007B2E58" w:rsidRPr="00B23D37">
        <w:rPr>
          <w:rFonts w:cs="Arial"/>
          <w:snapToGrid w:val="0"/>
          <w:szCs w:val="22"/>
        </w:rPr>
        <w:t>requested</w:t>
      </w:r>
      <w:r w:rsidRPr="00B23D37">
        <w:rPr>
          <w:rFonts w:cs="Arial"/>
          <w:snapToGrid w:val="0"/>
          <w:szCs w:val="22"/>
        </w:rPr>
        <w:t>.</w:t>
      </w:r>
      <w:r w:rsidR="002A50AA" w:rsidRPr="00B23D37">
        <w:rPr>
          <w:rFonts w:cs="Arial"/>
          <w:snapToGrid w:val="0"/>
          <w:szCs w:val="22"/>
        </w:rPr>
        <w:t xml:space="preserve"> </w:t>
      </w:r>
    </w:p>
    <w:p w14:paraId="221C2987" w14:textId="77777777" w:rsidR="00F956FA" w:rsidRPr="00B23D37" w:rsidRDefault="00F956FA" w:rsidP="00775298">
      <w:pPr>
        <w:keepNext/>
        <w:tabs>
          <w:tab w:val="left" w:pos="450"/>
        </w:tabs>
        <w:spacing w:before="120" w:line="360" w:lineRule="auto"/>
        <w:rPr>
          <w:rFonts w:cs="Arial"/>
          <w:snapToGrid w:val="0"/>
          <w:szCs w:val="22"/>
        </w:rPr>
      </w:pPr>
    </w:p>
    <w:sectPr w:rsidR="00F956FA" w:rsidRPr="00B23D37" w:rsidSect="00B0063A">
      <w:headerReference w:type="default" r:id="rId19"/>
      <w:footerReference w:type="default" r:id="rId20"/>
      <w:pgSz w:w="12240" w:h="15840" w:code="1"/>
      <w:pgMar w:top="1440" w:right="1296" w:bottom="1440" w:left="1296"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A04C" w14:textId="77777777" w:rsidR="00B87D86" w:rsidRDefault="00B87D86" w:rsidP="004F5F2F">
      <w:r>
        <w:separator/>
      </w:r>
    </w:p>
  </w:endnote>
  <w:endnote w:type="continuationSeparator" w:id="0">
    <w:p w14:paraId="0BE3E2FB" w14:textId="77777777" w:rsidR="00B87D86" w:rsidRDefault="00B87D86" w:rsidP="004F5F2F">
      <w:r>
        <w:continuationSeparator/>
      </w:r>
    </w:p>
  </w:endnote>
  <w:endnote w:type="continuationNotice" w:id="1">
    <w:p w14:paraId="276C978D" w14:textId="77777777" w:rsidR="00B87D86" w:rsidRDefault="00B87D86" w:rsidP="004F5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D3EE" w14:textId="658BA4DA" w:rsidR="007B2E58" w:rsidRPr="002248F3" w:rsidRDefault="007B2E58" w:rsidP="008D4A17">
    <w:pPr>
      <w:pStyle w:val="Footer"/>
      <w:tabs>
        <w:tab w:val="clear" w:pos="4680"/>
        <w:tab w:val="clear" w:pos="9360"/>
        <w:tab w:val="right" w:pos="9630"/>
      </w:tabs>
      <w:jc w:val="center"/>
      <w:rPr>
        <w:sz w:val="20"/>
        <w:lang w:val="en-US"/>
      </w:rPr>
    </w:pPr>
    <w:r w:rsidRPr="00B0063A">
      <w:rPr>
        <w:sz w:val="20"/>
      </w:rPr>
      <w:t xml:space="preserve">Project No. </w:t>
    </w:r>
    <w:r>
      <w:rPr>
        <w:sz w:val="20"/>
        <w:highlight w:val="yellow"/>
        <w:lang w:val="en-US"/>
      </w:rPr>
      <w:t>PRG(1234)</w:t>
    </w:r>
    <w:r w:rsidRPr="00B0063A">
      <w:rPr>
        <w:sz w:val="20"/>
      </w:rPr>
      <w:tab/>
      <w:t xml:space="preserve">Sheet </w:t>
    </w:r>
    <w:r w:rsidRPr="00B0063A">
      <w:rPr>
        <w:sz w:val="20"/>
      </w:rPr>
      <w:fldChar w:fldCharType="begin"/>
    </w:r>
    <w:r w:rsidRPr="00B0063A">
      <w:rPr>
        <w:sz w:val="20"/>
      </w:rPr>
      <w:instrText xml:space="preserve"> PAGE   \* MERGEFORMAT </w:instrText>
    </w:r>
    <w:r w:rsidRPr="00B0063A">
      <w:rPr>
        <w:sz w:val="20"/>
      </w:rPr>
      <w:fldChar w:fldCharType="separate"/>
    </w:r>
    <w:r w:rsidR="00A12C01">
      <w:rPr>
        <w:noProof/>
        <w:sz w:val="20"/>
      </w:rPr>
      <w:t>1</w:t>
    </w:r>
    <w:r w:rsidRPr="00B0063A">
      <w:rPr>
        <w:sz w:val="20"/>
      </w:rPr>
      <w:fldChar w:fldCharType="end"/>
    </w:r>
    <w:r w:rsidRPr="00B0063A">
      <w:rPr>
        <w:sz w:val="20"/>
      </w:rPr>
      <w:t xml:space="preserve"> of </w:t>
    </w:r>
    <w:r w:rsidRPr="00B0063A">
      <w:rPr>
        <w:sz w:val="20"/>
      </w:rPr>
      <w:fldChar w:fldCharType="begin"/>
    </w:r>
    <w:r w:rsidRPr="00B0063A">
      <w:rPr>
        <w:sz w:val="20"/>
      </w:rPr>
      <w:instrText xml:space="preserve"> NUMPAGES  \# "0" \* Arabic  \* MERGEFORMAT </w:instrText>
    </w:r>
    <w:r w:rsidRPr="00B0063A">
      <w:rPr>
        <w:sz w:val="20"/>
      </w:rPr>
      <w:fldChar w:fldCharType="separate"/>
    </w:r>
    <w:r w:rsidR="00A12C01">
      <w:rPr>
        <w:noProof/>
        <w:sz w:val="20"/>
      </w:rPr>
      <w:t>15</w:t>
    </w:r>
    <w:r w:rsidRPr="00B0063A">
      <w:rPr>
        <w:sz w:val="20"/>
      </w:rPr>
      <w:fldChar w:fldCharType="end"/>
    </w:r>
  </w:p>
  <w:p w14:paraId="2DF72682" w14:textId="6242E746" w:rsidR="007B2E58" w:rsidRPr="00B0063A" w:rsidRDefault="007B2E58" w:rsidP="008D4A17">
    <w:pPr>
      <w:pStyle w:val="Footer"/>
      <w:tabs>
        <w:tab w:val="clear" w:pos="4680"/>
        <w:tab w:val="clear" w:pos="9360"/>
        <w:tab w:val="right" w:pos="9630"/>
      </w:tabs>
      <w:jc w:val="center"/>
      <w:rPr>
        <w:sz w:val="20"/>
        <w:lang w:val="en-US"/>
      </w:rPr>
    </w:pPr>
    <w:r w:rsidRPr="00B0063A">
      <w:rPr>
        <w:sz w:val="20"/>
      </w:rPr>
      <w:t xml:space="preserve">Control No. </w:t>
    </w:r>
    <w:r>
      <w:rPr>
        <w:sz w:val="20"/>
        <w:highlight w:val="yellow"/>
        <w:lang w:val="en-US"/>
      </w:rPr>
      <w:t>12345</w:t>
    </w:r>
    <w:r w:rsidRPr="00B0063A">
      <w:rPr>
        <w:sz w:val="20"/>
      </w:rPr>
      <w:tab/>
    </w:r>
    <w:r w:rsidRPr="00B0063A">
      <w:rPr>
        <w:sz w:val="20"/>
        <w:lang w:val="en-US"/>
      </w:rPr>
      <w:t xml:space="preserve">Agreement </w:t>
    </w:r>
    <w:r>
      <w:rPr>
        <w:sz w:val="20"/>
        <w:lang w:val="en-US"/>
      </w:rPr>
      <w:t xml:space="preserve">No. </w:t>
    </w:r>
    <w:r w:rsidR="00032FAD">
      <w:rPr>
        <w:sz w:val="20"/>
        <w:highlight w:val="yellow"/>
        <w:lang w:val="en-US"/>
      </w:rPr>
      <w:t>XK2</w:t>
    </w:r>
    <w:r w:rsidR="00493780">
      <w:rPr>
        <w:sz w:val="20"/>
        <w:highlight w:val="yellow"/>
        <w:lang w:val="en-US"/>
      </w:rPr>
      <w:t>2</w:t>
    </w:r>
    <w:r w:rsidR="00032FAD">
      <w:rPr>
        <w:sz w:val="20"/>
        <w:highlight w:val="yellow"/>
        <w:lang w:val="en-US"/>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A5BB" w14:textId="77777777" w:rsidR="00B87D86" w:rsidRDefault="00B87D86" w:rsidP="004F5F2F">
      <w:r>
        <w:separator/>
      </w:r>
    </w:p>
  </w:footnote>
  <w:footnote w:type="continuationSeparator" w:id="0">
    <w:p w14:paraId="6F6AE014" w14:textId="77777777" w:rsidR="00B87D86" w:rsidRDefault="00B87D86" w:rsidP="004F5F2F">
      <w:r>
        <w:continuationSeparator/>
      </w:r>
    </w:p>
  </w:footnote>
  <w:footnote w:type="continuationNotice" w:id="1">
    <w:p w14:paraId="4D555274" w14:textId="77777777" w:rsidR="00B87D86" w:rsidRDefault="00B87D86" w:rsidP="004F5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47FE" w14:textId="67367041" w:rsidR="007B2E58" w:rsidRPr="00B0063A" w:rsidRDefault="007B2E58" w:rsidP="00B0063A">
    <w:pPr>
      <w:tabs>
        <w:tab w:val="right" w:pos="9630"/>
      </w:tabs>
      <w:jc w:val="center"/>
      <w:rPr>
        <w:rFonts w:cs="Arial"/>
        <w:b/>
        <w:bCs/>
        <w:szCs w:val="22"/>
        <w:u w:val="single"/>
      </w:rPr>
    </w:pPr>
    <w:r>
      <w:rPr>
        <w:rFonts w:cs="Arial"/>
        <w:b/>
        <w:bCs/>
        <w:szCs w:val="22"/>
      </w:rPr>
      <w:tab/>
    </w:r>
    <w:r w:rsidRPr="00B0063A">
      <w:rPr>
        <w:rFonts w:cs="Arial"/>
        <w:b/>
        <w:bCs/>
        <w:szCs w:val="22"/>
        <w:u w:val="single"/>
      </w:rPr>
      <w:t>EXHIBIT "</w:t>
    </w:r>
    <w:r w:rsidRPr="00B0063A">
      <w:rPr>
        <w:rFonts w:cs="Arial"/>
        <w:b/>
        <w:bCs/>
        <w:szCs w:val="22"/>
        <w:highlight w:val="yellow"/>
        <w:u w:val="single"/>
      </w:rPr>
      <w:t>C</w:t>
    </w:r>
    <w:r w:rsidRPr="00B0063A">
      <w:rPr>
        <w:rFonts w:cs="Arial"/>
        <w:b/>
        <w:bCs/>
        <w:szCs w:val="22"/>
        <w:u w:val="single"/>
      </w:rPr>
      <w:t>"</w:t>
    </w:r>
  </w:p>
  <w:p w14:paraId="5C45C6A5" w14:textId="77777777" w:rsidR="007B2E58" w:rsidRPr="00B0063A" w:rsidRDefault="007B2E58" w:rsidP="00B0063A">
    <w:pPr>
      <w:tabs>
        <w:tab w:val="right" w:pos="9630"/>
      </w:tabs>
      <w:jc w:val="center"/>
      <w:rPr>
        <w:szCs w:val="22"/>
      </w:rPr>
    </w:pPr>
    <w:r w:rsidRPr="00B0063A">
      <w:rPr>
        <w:rFonts w:cs="Arial"/>
        <w:bCs/>
        <w:szCs w:val="22"/>
      </w:rPr>
      <w:tab/>
      <w:t>FEES AND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CCF"/>
    <w:multiLevelType w:val="hybridMultilevel"/>
    <w:tmpl w:val="D78EDBD0"/>
    <w:lvl w:ilvl="0" w:tplc="04090001">
      <w:start w:val="1"/>
      <w:numFmt w:val="bullet"/>
      <w:lvlText w:val=""/>
      <w:lvlJc w:val="left"/>
      <w:pPr>
        <w:ind w:left="7560" w:hanging="360"/>
      </w:pPr>
      <w:rPr>
        <w:rFonts w:ascii="Symbol" w:hAnsi="Symbo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 w15:restartNumberingAfterBreak="0">
    <w:nsid w:val="03631016"/>
    <w:multiLevelType w:val="hybridMultilevel"/>
    <w:tmpl w:val="AF9EAE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B10C5D"/>
    <w:multiLevelType w:val="hybridMultilevel"/>
    <w:tmpl w:val="50FADE96"/>
    <w:lvl w:ilvl="0" w:tplc="04090019">
      <w:start w:val="1"/>
      <w:numFmt w:val="lowerLetter"/>
      <w:lvlText w:val="%1."/>
      <w:lvlJc w:val="left"/>
      <w:pPr>
        <w:ind w:left="1440" w:hanging="360"/>
      </w:pPr>
    </w:lvl>
    <w:lvl w:ilvl="1" w:tplc="9A2C355E">
      <w:start w:val="1"/>
      <w:numFmt w:val="upperLetter"/>
      <w:lvlText w:val="%2."/>
      <w:lvlJc w:val="left"/>
      <w:pPr>
        <w:ind w:left="2160" w:hanging="360"/>
      </w:pPr>
      <w:rPr>
        <w:rFonts w:ascii="Arial" w:eastAsia="Times New Roman"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D1115"/>
    <w:multiLevelType w:val="hybridMultilevel"/>
    <w:tmpl w:val="1D4076FA"/>
    <w:lvl w:ilvl="0" w:tplc="04907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5412A"/>
    <w:multiLevelType w:val="hybridMultilevel"/>
    <w:tmpl w:val="5E06A2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7D269E"/>
    <w:multiLevelType w:val="multilevel"/>
    <w:tmpl w:val="FBC8B458"/>
    <w:lvl w:ilvl="0">
      <w:start w:val="1"/>
      <w:numFmt w:val="decimal"/>
      <w:pStyle w:val="Heading1"/>
      <w:lvlText w:val="%1."/>
      <w:lvlJc w:val="left"/>
      <w:pPr>
        <w:ind w:left="432" w:hanging="432"/>
      </w:pPr>
      <w:rPr>
        <w:rFonts w:ascii="Arial" w:hAnsi="Arial" w:hint="default"/>
        <w:b/>
        <w:i w:val="0"/>
        <w:caps/>
        <w:sz w:val="22"/>
      </w:rPr>
    </w:lvl>
    <w:lvl w:ilvl="1">
      <w:start w:val="1"/>
      <w:numFmt w:val="upperLetter"/>
      <w:pStyle w:val="Heading2"/>
      <w:lvlText w:val="%2."/>
      <w:lvlJc w:val="left"/>
      <w:pPr>
        <w:ind w:left="864" w:hanging="432"/>
      </w:pPr>
      <w:rPr>
        <w:rFonts w:ascii="Arial" w:hAnsi="Arial" w:hint="default"/>
        <w:b w:val="0"/>
        <w:i w:val="0"/>
        <w:sz w:val="22"/>
      </w:rPr>
    </w:lvl>
    <w:lvl w:ilvl="2">
      <w:start w:val="1"/>
      <w:numFmt w:val="decimal"/>
      <w:pStyle w:val="Heading3"/>
      <w:lvlText w:val="%3)"/>
      <w:lvlJc w:val="left"/>
      <w:pPr>
        <w:ind w:left="1296" w:hanging="432"/>
      </w:pPr>
      <w:rPr>
        <w:rFonts w:ascii="Arial" w:hAnsi="Arial" w:hint="default"/>
        <w:b w:val="0"/>
        <w:i w:val="0"/>
        <w:sz w:val="22"/>
      </w:rPr>
    </w:lvl>
    <w:lvl w:ilvl="3">
      <w:start w:val="1"/>
      <w:numFmt w:val="lowerLetter"/>
      <w:pStyle w:val="Heading4"/>
      <w:lvlText w:val="(%4)"/>
      <w:lvlJc w:val="left"/>
      <w:pPr>
        <w:ind w:left="1728" w:hanging="432"/>
      </w:pPr>
      <w:rPr>
        <w:rFonts w:ascii="Arial" w:hAnsi="Arial" w:hint="default"/>
        <w:b w:val="0"/>
        <w:i w:val="0"/>
        <w:sz w:val="22"/>
      </w:rPr>
    </w:lvl>
    <w:lvl w:ilvl="4">
      <w:start w:val="1"/>
      <w:numFmt w:val="lowerRoman"/>
      <w:pStyle w:val="Heading5"/>
      <w:lvlText w:val="(%5)"/>
      <w:lvlJc w:val="left"/>
      <w:pPr>
        <w:ind w:left="2160" w:hanging="432"/>
      </w:pPr>
      <w:rPr>
        <w:rFonts w:ascii="Arial" w:hAnsi="Arial" w:hint="default"/>
        <w:b w:val="0"/>
        <w:i w:val="0"/>
        <w:sz w:val="22"/>
      </w:rPr>
    </w:lvl>
    <w:lvl w:ilvl="5">
      <w:start w:val="1"/>
      <w:numFmt w:val="decimal"/>
      <w:pStyle w:val="Heading6"/>
      <w:lvlText w:val="(%6)"/>
      <w:lvlJc w:val="left"/>
      <w:pPr>
        <w:ind w:left="2592" w:hanging="432"/>
      </w:pPr>
      <w:rPr>
        <w:rFonts w:ascii="Arial" w:hAnsi="Arial" w:hint="default"/>
        <w:b w:val="0"/>
        <w:i w:val="0"/>
        <w:sz w:val="22"/>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6" w15:restartNumberingAfterBreak="0">
    <w:nsid w:val="1303128F"/>
    <w:multiLevelType w:val="hybridMultilevel"/>
    <w:tmpl w:val="4F7CA1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6B37538"/>
    <w:multiLevelType w:val="hybridMultilevel"/>
    <w:tmpl w:val="988CC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32469"/>
    <w:multiLevelType w:val="hybridMultilevel"/>
    <w:tmpl w:val="EE641D4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F016F7"/>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06A27"/>
    <w:multiLevelType w:val="hybridMultilevel"/>
    <w:tmpl w:val="D40A2DCA"/>
    <w:lvl w:ilvl="0" w:tplc="04090015">
      <w:start w:val="1"/>
      <w:numFmt w:val="upperLetter"/>
      <w:lvlText w:val="%1."/>
      <w:lvlJc w:val="left"/>
      <w:pPr>
        <w:ind w:left="720" w:hanging="360"/>
      </w:pPr>
    </w:lvl>
    <w:lvl w:ilvl="1" w:tplc="1AE41F26">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8097D"/>
    <w:multiLevelType w:val="hybridMultilevel"/>
    <w:tmpl w:val="56BCC1B8"/>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19222A1"/>
    <w:multiLevelType w:val="hybridMultilevel"/>
    <w:tmpl w:val="5DFAA04E"/>
    <w:lvl w:ilvl="0" w:tplc="38C2E5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E74303"/>
    <w:multiLevelType w:val="hybridMultilevel"/>
    <w:tmpl w:val="79764378"/>
    <w:lvl w:ilvl="0" w:tplc="04090015">
      <w:start w:val="1"/>
      <w:numFmt w:val="upperLetter"/>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60245"/>
    <w:multiLevelType w:val="hybridMultilevel"/>
    <w:tmpl w:val="7902D81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604392"/>
    <w:multiLevelType w:val="hybridMultilevel"/>
    <w:tmpl w:val="8F8681E0"/>
    <w:lvl w:ilvl="0" w:tplc="21BEFD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9A714D"/>
    <w:multiLevelType w:val="hybridMultilevel"/>
    <w:tmpl w:val="09682E9A"/>
    <w:lvl w:ilvl="0" w:tplc="3418F662">
      <w:start w:val="1"/>
      <w:numFmt w:val="upperLetter"/>
      <w:lvlText w:val="%1."/>
      <w:lvlJc w:val="left"/>
      <w:pPr>
        <w:ind w:left="720" w:hanging="360"/>
      </w:pPr>
      <w:rPr>
        <w:rFonts w:ascii="Arial" w:eastAsia="Calibri" w:hAnsi="Arial" w:cs="Arial"/>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E5779"/>
    <w:multiLevelType w:val="hybridMultilevel"/>
    <w:tmpl w:val="1B1A2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68B2"/>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65F4B"/>
    <w:multiLevelType w:val="hybridMultilevel"/>
    <w:tmpl w:val="367ECA22"/>
    <w:lvl w:ilvl="0" w:tplc="1DD4A4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007894"/>
    <w:multiLevelType w:val="hybridMultilevel"/>
    <w:tmpl w:val="F7FC0F26"/>
    <w:lvl w:ilvl="0" w:tplc="38B049E2">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46B4361C"/>
    <w:multiLevelType w:val="hybridMultilevel"/>
    <w:tmpl w:val="36EA2D82"/>
    <w:lvl w:ilvl="0" w:tplc="965021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CC4538"/>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83DDB"/>
    <w:multiLevelType w:val="hybridMultilevel"/>
    <w:tmpl w:val="A7CE33D2"/>
    <w:lvl w:ilvl="0" w:tplc="FE966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0061A9"/>
    <w:multiLevelType w:val="hybridMultilevel"/>
    <w:tmpl w:val="A76E9A3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549A5E60"/>
    <w:multiLevelType w:val="hybridMultilevel"/>
    <w:tmpl w:val="3A9C04FA"/>
    <w:lvl w:ilvl="0" w:tplc="4E6E2A32">
      <w:start w:val="1"/>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54A46FD"/>
    <w:multiLevelType w:val="hybridMultilevel"/>
    <w:tmpl w:val="52CCCF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8" w15:restartNumberingAfterBreak="0">
    <w:nsid w:val="559459C5"/>
    <w:multiLevelType w:val="hybridMultilevel"/>
    <w:tmpl w:val="65A290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84E7DC3"/>
    <w:multiLevelType w:val="hybridMultilevel"/>
    <w:tmpl w:val="9CF2638C"/>
    <w:lvl w:ilvl="0" w:tplc="D8608B7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5B15083B"/>
    <w:multiLevelType w:val="hybridMultilevel"/>
    <w:tmpl w:val="0F1E3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E242D"/>
    <w:multiLevelType w:val="hybridMultilevel"/>
    <w:tmpl w:val="65E44414"/>
    <w:lvl w:ilvl="0" w:tplc="C97C1C8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3" w15:restartNumberingAfterBreak="0">
    <w:nsid w:val="67D46D01"/>
    <w:multiLevelType w:val="hybridMultilevel"/>
    <w:tmpl w:val="3434FD62"/>
    <w:lvl w:ilvl="0" w:tplc="ED3CA5F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9511A52"/>
    <w:multiLevelType w:val="hybridMultilevel"/>
    <w:tmpl w:val="4D4CC0C2"/>
    <w:lvl w:ilvl="0" w:tplc="04090019">
      <w:start w:val="1"/>
      <w:numFmt w:val="lowerLetter"/>
      <w:lvlText w:val="%1."/>
      <w:lvlJc w:val="left"/>
      <w:pPr>
        <w:ind w:left="720" w:hanging="360"/>
      </w:pPr>
      <w:rPr>
        <w:rFonts w:hint="default"/>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90809"/>
    <w:multiLevelType w:val="hybridMultilevel"/>
    <w:tmpl w:val="EBF496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F822A6D"/>
    <w:multiLevelType w:val="hybridMultilevel"/>
    <w:tmpl w:val="4EA44E30"/>
    <w:lvl w:ilvl="0" w:tplc="906ACA10">
      <w:start w:val="1"/>
      <w:numFmt w:val="upp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9D2F79"/>
    <w:multiLevelType w:val="hybridMultilevel"/>
    <w:tmpl w:val="DEFAB4CC"/>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79E766F5"/>
    <w:multiLevelType w:val="hybridMultilevel"/>
    <w:tmpl w:val="0BE21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3809F3"/>
    <w:multiLevelType w:val="hybridMultilevel"/>
    <w:tmpl w:val="4D4CC0C2"/>
    <w:lvl w:ilvl="0" w:tplc="04090019">
      <w:start w:val="1"/>
      <w:numFmt w:val="lowerLetter"/>
      <w:lvlText w:val="%1."/>
      <w:lvlJc w:val="left"/>
      <w:pPr>
        <w:ind w:left="720" w:hanging="360"/>
      </w:pPr>
      <w:rPr>
        <w:rFonts w:hint="default"/>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93ACF"/>
    <w:multiLevelType w:val="hybridMultilevel"/>
    <w:tmpl w:val="9C701514"/>
    <w:lvl w:ilvl="0" w:tplc="1AC2FE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387377"/>
    <w:multiLevelType w:val="hybridMultilevel"/>
    <w:tmpl w:val="CD2A7854"/>
    <w:lvl w:ilvl="0" w:tplc="A016D520">
      <w:start w:val="1"/>
      <w:numFmt w:val="lowerRoman"/>
      <w:lvlText w:val="(%1)"/>
      <w:lvlJc w:val="left"/>
      <w:pPr>
        <w:ind w:left="3240" w:hanging="720"/>
      </w:pPr>
      <w:rPr>
        <w:rFonts w:cs="Aria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E7472EF"/>
    <w:multiLevelType w:val="hybridMultilevel"/>
    <w:tmpl w:val="79764378"/>
    <w:lvl w:ilvl="0" w:tplc="04090015">
      <w:start w:val="1"/>
      <w:numFmt w:val="upperLetter"/>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704EC"/>
    <w:multiLevelType w:val="hybridMultilevel"/>
    <w:tmpl w:val="A0C2A5EE"/>
    <w:lvl w:ilvl="0" w:tplc="0B866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5664546">
    <w:abstractNumId w:val="34"/>
  </w:num>
  <w:num w:numId="2" w16cid:durableId="1624530966">
    <w:abstractNumId w:val="9"/>
  </w:num>
  <w:num w:numId="3" w16cid:durableId="1643077665">
    <w:abstractNumId w:val="4"/>
  </w:num>
  <w:num w:numId="4" w16cid:durableId="867915197">
    <w:abstractNumId w:val="35"/>
  </w:num>
  <w:num w:numId="5" w16cid:durableId="748042130">
    <w:abstractNumId w:val="28"/>
  </w:num>
  <w:num w:numId="6" w16cid:durableId="400519022">
    <w:abstractNumId w:val="2"/>
  </w:num>
  <w:num w:numId="7" w16cid:durableId="62340124">
    <w:abstractNumId w:val="32"/>
  </w:num>
  <w:num w:numId="8" w16cid:durableId="2079547416">
    <w:abstractNumId w:val="37"/>
  </w:num>
  <w:num w:numId="9" w16cid:durableId="1357579670">
    <w:abstractNumId w:val="24"/>
  </w:num>
  <w:num w:numId="10" w16cid:durableId="1368261439">
    <w:abstractNumId w:val="8"/>
  </w:num>
  <w:num w:numId="11" w16cid:durableId="1524127519">
    <w:abstractNumId w:val="27"/>
  </w:num>
  <w:num w:numId="12" w16cid:durableId="570122806">
    <w:abstractNumId w:val="6"/>
  </w:num>
  <w:num w:numId="13" w16cid:durableId="150411295">
    <w:abstractNumId w:val="3"/>
  </w:num>
  <w:num w:numId="14" w16cid:durableId="160123273">
    <w:abstractNumId w:val="29"/>
  </w:num>
  <w:num w:numId="15" w16cid:durableId="1997997904">
    <w:abstractNumId w:val="15"/>
  </w:num>
  <w:num w:numId="16" w16cid:durableId="229661026">
    <w:abstractNumId w:val="20"/>
  </w:num>
  <w:num w:numId="17" w16cid:durableId="1019772687">
    <w:abstractNumId w:val="12"/>
  </w:num>
  <w:num w:numId="18" w16cid:durableId="1931546904">
    <w:abstractNumId w:val="19"/>
  </w:num>
  <w:num w:numId="19" w16cid:durableId="1483548397">
    <w:abstractNumId w:val="43"/>
  </w:num>
  <w:num w:numId="20" w16cid:durableId="1374840089">
    <w:abstractNumId w:val="21"/>
  </w:num>
  <w:num w:numId="21" w16cid:durableId="1907299983">
    <w:abstractNumId w:val="30"/>
  </w:num>
  <w:num w:numId="22" w16cid:durableId="481165374">
    <w:abstractNumId w:val="40"/>
  </w:num>
  <w:num w:numId="23" w16cid:durableId="1578199523">
    <w:abstractNumId w:val="17"/>
  </w:num>
  <w:num w:numId="24" w16cid:durableId="728308553">
    <w:abstractNumId w:val="25"/>
  </w:num>
  <w:num w:numId="25" w16cid:durableId="1346592652">
    <w:abstractNumId w:val="16"/>
  </w:num>
  <w:num w:numId="26" w16cid:durableId="723792262">
    <w:abstractNumId w:val="18"/>
  </w:num>
  <w:num w:numId="27" w16cid:durableId="95250949">
    <w:abstractNumId w:val="39"/>
  </w:num>
  <w:num w:numId="28" w16cid:durableId="1080758741">
    <w:abstractNumId w:val="22"/>
  </w:num>
  <w:num w:numId="29" w16cid:durableId="71049365">
    <w:abstractNumId w:val="1"/>
  </w:num>
  <w:num w:numId="30" w16cid:durableId="1955094184">
    <w:abstractNumId w:val="7"/>
  </w:num>
  <w:num w:numId="31" w16cid:durableId="1786920428">
    <w:abstractNumId w:val="38"/>
  </w:num>
  <w:num w:numId="32" w16cid:durableId="960378869">
    <w:abstractNumId w:val="11"/>
  </w:num>
  <w:num w:numId="33" w16cid:durableId="2003045795">
    <w:abstractNumId w:val="42"/>
  </w:num>
  <w:num w:numId="34" w16cid:durableId="2061242409">
    <w:abstractNumId w:val="14"/>
  </w:num>
  <w:num w:numId="35" w16cid:durableId="1145969518">
    <w:abstractNumId w:val="36"/>
  </w:num>
  <w:num w:numId="36" w16cid:durableId="1872180283">
    <w:abstractNumId w:val="23"/>
  </w:num>
  <w:num w:numId="37" w16cid:durableId="823619903">
    <w:abstractNumId w:val="31"/>
  </w:num>
  <w:num w:numId="38" w16cid:durableId="1817256087">
    <w:abstractNumId w:val="13"/>
  </w:num>
  <w:num w:numId="39" w16cid:durableId="908614857">
    <w:abstractNumId w:val="0"/>
  </w:num>
  <w:num w:numId="40" w16cid:durableId="64643863">
    <w:abstractNumId w:val="33"/>
  </w:num>
  <w:num w:numId="41" w16cid:durableId="2097096587">
    <w:abstractNumId w:val="26"/>
  </w:num>
  <w:num w:numId="42" w16cid:durableId="1448886119">
    <w:abstractNumId w:val="5"/>
  </w:num>
  <w:num w:numId="43" w16cid:durableId="10838286">
    <w:abstractNumId w:val="41"/>
  </w:num>
  <w:num w:numId="44" w16cid:durableId="631525351">
    <w:abstractNumId w:val="10"/>
  </w:num>
  <w:num w:numId="45" w16cid:durableId="20281403">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0D"/>
    <w:rsid w:val="000060FC"/>
    <w:rsid w:val="00006D93"/>
    <w:rsid w:val="00007C3F"/>
    <w:rsid w:val="0001116E"/>
    <w:rsid w:val="00011975"/>
    <w:rsid w:val="000124C9"/>
    <w:rsid w:val="00013E33"/>
    <w:rsid w:val="00013E3E"/>
    <w:rsid w:val="00014FFF"/>
    <w:rsid w:val="0001510A"/>
    <w:rsid w:val="0001646C"/>
    <w:rsid w:val="000169A7"/>
    <w:rsid w:val="0002235B"/>
    <w:rsid w:val="0002459B"/>
    <w:rsid w:val="000259F0"/>
    <w:rsid w:val="00026FB1"/>
    <w:rsid w:val="00031DF2"/>
    <w:rsid w:val="00032FAD"/>
    <w:rsid w:val="00033043"/>
    <w:rsid w:val="0003625C"/>
    <w:rsid w:val="00040070"/>
    <w:rsid w:val="00043DC0"/>
    <w:rsid w:val="000443EF"/>
    <w:rsid w:val="00047D21"/>
    <w:rsid w:val="00050BE2"/>
    <w:rsid w:val="00053F4C"/>
    <w:rsid w:val="00061438"/>
    <w:rsid w:val="00063BBD"/>
    <w:rsid w:val="00065A1E"/>
    <w:rsid w:val="00075693"/>
    <w:rsid w:val="00077BF3"/>
    <w:rsid w:val="00087258"/>
    <w:rsid w:val="0009375C"/>
    <w:rsid w:val="000977E1"/>
    <w:rsid w:val="00097EC1"/>
    <w:rsid w:val="000A20D6"/>
    <w:rsid w:val="000A5F62"/>
    <w:rsid w:val="000A5FA1"/>
    <w:rsid w:val="000B0428"/>
    <w:rsid w:val="000B33DA"/>
    <w:rsid w:val="000B3C3B"/>
    <w:rsid w:val="000B4FEC"/>
    <w:rsid w:val="000B7324"/>
    <w:rsid w:val="000C1EBC"/>
    <w:rsid w:val="000C2AD4"/>
    <w:rsid w:val="000C31BF"/>
    <w:rsid w:val="000C4923"/>
    <w:rsid w:val="000D14C1"/>
    <w:rsid w:val="000D23FD"/>
    <w:rsid w:val="000D266E"/>
    <w:rsid w:val="000D3523"/>
    <w:rsid w:val="000D6C3B"/>
    <w:rsid w:val="000D7DF3"/>
    <w:rsid w:val="000E1468"/>
    <w:rsid w:val="000E1F51"/>
    <w:rsid w:val="000E302F"/>
    <w:rsid w:val="000E39C8"/>
    <w:rsid w:val="000E47DB"/>
    <w:rsid w:val="000E4C4C"/>
    <w:rsid w:val="000E515B"/>
    <w:rsid w:val="000E581F"/>
    <w:rsid w:val="000F1408"/>
    <w:rsid w:val="000F2D44"/>
    <w:rsid w:val="000F2D70"/>
    <w:rsid w:val="000F7B39"/>
    <w:rsid w:val="001013FE"/>
    <w:rsid w:val="00101C7E"/>
    <w:rsid w:val="00103D3D"/>
    <w:rsid w:val="00107B21"/>
    <w:rsid w:val="00107E7B"/>
    <w:rsid w:val="0011157B"/>
    <w:rsid w:val="00113D7E"/>
    <w:rsid w:val="00116184"/>
    <w:rsid w:val="00123FE9"/>
    <w:rsid w:val="00125FDA"/>
    <w:rsid w:val="00130F9A"/>
    <w:rsid w:val="00131808"/>
    <w:rsid w:val="001331D0"/>
    <w:rsid w:val="00134C85"/>
    <w:rsid w:val="00137029"/>
    <w:rsid w:val="001379E7"/>
    <w:rsid w:val="00137CD0"/>
    <w:rsid w:val="00143CFC"/>
    <w:rsid w:val="00143E4B"/>
    <w:rsid w:val="0014526A"/>
    <w:rsid w:val="00146B11"/>
    <w:rsid w:val="001544C9"/>
    <w:rsid w:val="00154A9D"/>
    <w:rsid w:val="00160FA9"/>
    <w:rsid w:val="0016126A"/>
    <w:rsid w:val="00161AAC"/>
    <w:rsid w:val="00162A64"/>
    <w:rsid w:val="0016302A"/>
    <w:rsid w:val="00163D76"/>
    <w:rsid w:val="001651C2"/>
    <w:rsid w:val="00165C7C"/>
    <w:rsid w:val="00165CA6"/>
    <w:rsid w:val="001724D0"/>
    <w:rsid w:val="00174351"/>
    <w:rsid w:val="001770B3"/>
    <w:rsid w:val="00183FE4"/>
    <w:rsid w:val="00185CAA"/>
    <w:rsid w:val="001929AE"/>
    <w:rsid w:val="00196B3B"/>
    <w:rsid w:val="00197706"/>
    <w:rsid w:val="00197CCC"/>
    <w:rsid w:val="001A1A35"/>
    <w:rsid w:val="001A6E26"/>
    <w:rsid w:val="001A7006"/>
    <w:rsid w:val="001B03C8"/>
    <w:rsid w:val="001B07FC"/>
    <w:rsid w:val="001B1081"/>
    <w:rsid w:val="001B45EB"/>
    <w:rsid w:val="001B4AA9"/>
    <w:rsid w:val="001B6A02"/>
    <w:rsid w:val="001C00F8"/>
    <w:rsid w:val="001C61C2"/>
    <w:rsid w:val="001C72DB"/>
    <w:rsid w:val="001D4C24"/>
    <w:rsid w:val="001D57A2"/>
    <w:rsid w:val="001D598F"/>
    <w:rsid w:val="001D6720"/>
    <w:rsid w:val="001E0F2C"/>
    <w:rsid w:val="001E0FA0"/>
    <w:rsid w:val="001E1761"/>
    <w:rsid w:val="001E2013"/>
    <w:rsid w:val="001E49E4"/>
    <w:rsid w:val="001E62BC"/>
    <w:rsid w:val="001E669A"/>
    <w:rsid w:val="001F0A44"/>
    <w:rsid w:val="001F22EA"/>
    <w:rsid w:val="001F5E54"/>
    <w:rsid w:val="00201249"/>
    <w:rsid w:val="00201283"/>
    <w:rsid w:val="00203F01"/>
    <w:rsid w:val="00204F90"/>
    <w:rsid w:val="0020603D"/>
    <w:rsid w:val="00207E48"/>
    <w:rsid w:val="00207FBE"/>
    <w:rsid w:val="002101DD"/>
    <w:rsid w:val="002118F8"/>
    <w:rsid w:val="0021397E"/>
    <w:rsid w:val="00214956"/>
    <w:rsid w:val="00222482"/>
    <w:rsid w:val="002233C1"/>
    <w:rsid w:val="00223B5F"/>
    <w:rsid w:val="00223D8E"/>
    <w:rsid w:val="002248F3"/>
    <w:rsid w:val="00226D11"/>
    <w:rsid w:val="0022710D"/>
    <w:rsid w:val="002302E6"/>
    <w:rsid w:val="00233774"/>
    <w:rsid w:val="0023639E"/>
    <w:rsid w:val="00240223"/>
    <w:rsid w:val="0024111B"/>
    <w:rsid w:val="0024531A"/>
    <w:rsid w:val="00246978"/>
    <w:rsid w:val="0024758A"/>
    <w:rsid w:val="00247E33"/>
    <w:rsid w:val="00250CB8"/>
    <w:rsid w:val="00251A6F"/>
    <w:rsid w:val="00251BE0"/>
    <w:rsid w:val="00256596"/>
    <w:rsid w:val="0026094C"/>
    <w:rsid w:val="00260E40"/>
    <w:rsid w:val="00260F9A"/>
    <w:rsid w:val="002611CF"/>
    <w:rsid w:val="0026501E"/>
    <w:rsid w:val="002657F4"/>
    <w:rsid w:val="00266BC1"/>
    <w:rsid w:val="00267DFF"/>
    <w:rsid w:val="00271771"/>
    <w:rsid w:val="00274FA1"/>
    <w:rsid w:val="0028072E"/>
    <w:rsid w:val="00283068"/>
    <w:rsid w:val="0028321A"/>
    <w:rsid w:val="00285BF9"/>
    <w:rsid w:val="00287634"/>
    <w:rsid w:val="00287EFA"/>
    <w:rsid w:val="00290004"/>
    <w:rsid w:val="00291FA4"/>
    <w:rsid w:val="00293794"/>
    <w:rsid w:val="00297856"/>
    <w:rsid w:val="002A296A"/>
    <w:rsid w:val="002A2EBE"/>
    <w:rsid w:val="002A4116"/>
    <w:rsid w:val="002A4E18"/>
    <w:rsid w:val="002A50AA"/>
    <w:rsid w:val="002A61EF"/>
    <w:rsid w:val="002A75E1"/>
    <w:rsid w:val="002B0C42"/>
    <w:rsid w:val="002B353B"/>
    <w:rsid w:val="002B428E"/>
    <w:rsid w:val="002B4B33"/>
    <w:rsid w:val="002B5F01"/>
    <w:rsid w:val="002C088E"/>
    <w:rsid w:val="002C2056"/>
    <w:rsid w:val="002C33DD"/>
    <w:rsid w:val="002C5851"/>
    <w:rsid w:val="002D1548"/>
    <w:rsid w:val="002D1C60"/>
    <w:rsid w:val="002D528C"/>
    <w:rsid w:val="002E0714"/>
    <w:rsid w:val="002E107B"/>
    <w:rsid w:val="002E377E"/>
    <w:rsid w:val="002E6DBA"/>
    <w:rsid w:val="002E7FCE"/>
    <w:rsid w:val="002F0523"/>
    <w:rsid w:val="002F0AB7"/>
    <w:rsid w:val="002F2123"/>
    <w:rsid w:val="002F63C1"/>
    <w:rsid w:val="002F6996"/>
    <w:rsid w:val="002F71D6"/>
    <w:rsid w:val="002F764F"/>
    <w:rsid w:val="00305D5B"/>
    <w:rsid w:val="00307546"/>
    <w:rsid w:val="00310753"/>
    <w:rsid w:val="00311409"/>
    <w:rsid w:val="00316742"/>
    <w:rsid w:val="00317434"/>
    <w:rsid w:val="003176E8"/>
    <w:rsid w:val="00323283"/>
    <w:rsid w:val="003273EA"/>
    <w:rsid w:val="00330C59"/>
    <w:rsid w:val="003318FC"/>
    <w:rsid w:val="00332906"/>
    <w:rsid w:val="003346D6"/>
    <w:rsid w:val="00334F1C"/>
    <w:rsid w:val="00335914"/>
    <w:rsid w:val="00337535"/>
    <w:rsid w:val="00342AD9"/>
    <w:rsid w:val="00345B06"/>
    <w:rsid w:val="003469CB"/>
    <w:rsid w:val="003471EC"/>
    <w:rsid w:val="003477E0"/>
    <w:rsid w:val="00347891"/>
    <w:rsid w:val="003502C1"/>
    <w:rsid w:val="00350335"/>
    <w:rsid w:val="00351C83"/>
    <w:rsid w:val="00352F5C"/>
    <w:rsid w:val="00356C54"/>
    <w:rsid w:val="00356C94"/>
    <w:rsid w:val="00356E9F"/>
    <w:rsid w:val="00357FAD"/>
    <w:rsid w:val="00362932"/>
    <w:rsid w:val="00362C45"/>
    <w:rsid w:val="003643F8"/>
    <w:rsid w:val="003645FA"/>
    <w:rsid w:val="0036595F"/>
    <w:rsid w:val="00366C3E"/>
    <w:rsid w:val="00370CB5"/>
    <w:rsid w:val="00371A96"/>
    <w:rsid w:val="003749A0"/>
    <w:rsid w:val="00376766"/>
    <w:rsid w:val="0037748E"/>
    <w:rsid w:val="00377782"/>
    <w:rsid w:val="00377C8B"/>
    <w:rsid w:val="00381954"/>
    <w:rsid w:val="00382F95"/>
    <w:rsid w:val="00386227"/>
    <w:rsid w:val="003866E9"/>
    <w:rsid w:val="00386F06"/>
    <w:rsid w:val="0039052C"/>
    <w:rsid w:val="00392E19"/>
    <w:rsid w:val="00393387"/>
    <w:rsid w:val="00393396"/>
    <w:rsid w:val="003935CB"/>
    <w:rsid w:val="00395552"/>
    <w:rsid w:val="003977B3"/>
    <w:rsid w:val="00397AB7"/>
    <w:rsid w:val="003A0BCA"/>
    <w:rsid w:val="003A1953"/>
    <w:rsid w:val="003A294D"/>
    <w:rsid w:val="003A2A3E"/>
    <w:rsid w:val="003A3A4E"/>
    <w:rsid w:val="003A4B94"/>
    <w:rsid w:val="003A6F2D"/>
    <w:rsid w:val="003A7A5B"/>
    <w:rsid w:val="003B0FA3"/>
    <w:rsid w:val="003B1C37"/>
    <w:rsid w:val="003B4FBA"/>
    <w:rsid w:val="003B7A47"/>
    <w:rsid w:val="003C0980"/>
    <w:rsid w:val="003C1F9C"/>
    <w:rsid w:val="003C2A60"/>
    <w:rsid w:val="003C314A"/>
    <w:rsid w:val="003C3DBE"/>
    <w:rsid w:val="003C5F28"/>
    <w:rsid w:val="003C681D"/>
    <w:rsid w:val="003C71C4"/>
    <w:rsid w:val="003D0600"/>
    <w:rsid w:val="003D3EBF"/>
    <w:rsid w:val="003D46A3"/>
    <w:rsid w:val="003E06F6"/>
    <w:rsid w:val="003E08EC"/>
    <w:rsid w:val="003E24ED"/>
    <w:rsid w:val="003E2CC2"/>
    <w:rsid w:val="003E2F5E"/>
    <w:rsid w:val="003E7CBD"/>
    <w:rsid w:val="003F05B2"/>
    <w:rsid w:val="003F236E"/>
    <w:rsid w:val="003F3DB5"/>
    <w:rsid w:val="003F7150"/>
    <w:rsid w:val="003F7877"/>
    <w:rsid w:val="004001AC"/>
    <w:rsid w:val="00402363"/>
    <w:rsid w:val="004051E8"/>
    <w:rsid w:val="00405C47"/>
    <w:rsid w:val="00407CCC"/>
    <w:rsid w:val="0041540E"/>
    <w:rsid w:val="00417AB0"/>
    <w:rsid w:val="0042059F"/>
    <w:rsid w:val="004206A0"/>
    <w:rsid w:val="00421044"/>
    <w:rsid w:val="00421072"/>
    <w:rsid w:val="0042200D"/>
    <w:rsid w:val="00422C60"/>
    <w:rsid w:val="00422DA2"/>
    <w:rsid w:val="00422E6D"/>
    <w:rsid w:val="0042374B"/>
    <w:rsid w:val="00424883"/>
    <w:rsid w:val="00426141"/>
    <w:rsid w:val="00426289"/>
    <w:rsid w:val="004265EE"/>
    <w:rsid w:val="004272F7"/>
    <w:rsid w:val="00427ED3"/>
    <w:rsid w:val="00430217"/>
    <w:rsid w:val="00430C16"/>
    <w:rsid w:val="004319BC"/>
    <w:rsid w:val="00432FE8"/>
    <w:rsid w:val="00433FDA"/>
    <w:rsid w:val="00435564"/>
    <w:rsid w:val="004355AE"/>
    <w:rsid w:val="00435946"/>
    <w:rsid w:val="00443586"/>
    <w:rsid w:val="00443FFD"/>
    <w:rsid w:val="00444743"/>
    <w:rsid w:val="00455EEE"/>
    <w:rsid w:val="00457B5D"/>
    <w:rsid w:val="00461F8C"/>
    <w:rsid w:val="004653F7"/>
    <w:rsid w:val="00471D98"/>
    <w:rsid w:val="00477AF8"/>
    <w:rsid w:val="00477CE7"/>
    <w:rsid w:val="00481563"/>
    <w:rsid w:val="00481FBD"/>
    <w:rsid w:val="004826E2"/>
    <w:rsid w:val="00483857"/>
    <w:rsid w:val="00486DFD"/>
    <w:rsid w:val="00487554"/>
    <w:rsid w:val="00487A14"/>
    <w:rsid w:val="00491F50"/>
    <w:rsid w:val="00493780"/>
    <w:rsid w:val="004948EE"/>
    <w:rsid w:val="004956C5"/>
    <w:rsid w:val="00495D24"/>
    <w:rsid w:val="004A1B6C"/>
    <w:rsid w:val="004A458D"/>
    <w:rsid w:val="004A6191"/>
    <w:rsid w:val="004A61CF"/>
    <w:rsid w:val="004B0CEF"/>
    <w:rsid w:val="004B0D6D"/>
    <w:rsid w:val="004B1B21"/>
    <w:rsid w:val="004B384C"/>
    <w:rsid w:val="004C0DAA"/>
    <w:rsid w:val="004C5643"/>
    <w:rsid w:val="004D0797"/>
    <w:rsid w:val="004D1A18"/>
    <w:rsid w:val="004D3EDA"/>
    <w:rsid w:val="004D5027"/>
    <w:rsid w:val="004D5EA9"/>
    <w:rsid w:val="004D607E"/>
    <w:rsid w:val="004D7DB8"/>
    <w:rsid w:val="004E197C"/>
    <w:rsid w:val="004E20DE"/>
    <w:rsid w:val="004E2F2C"/>
    <w:rsid w:val="004E3953"/>
    <w:rsid w:val="004E3D6C"/>
    <w:rsid w:val="004E514D"/>
    <w:rsid w:val="004E7A62"/>
    <w:rsid w:val="004F0F5A"/>
    <w:rsid w:val="004F251E"/>
    <w:rsid w:val="004F2EFE"/>
    <w:rsid w:val="004F359D"/>
    <w:rsid w:val="004F36BF"/>
    <w:rsid w:val="004F5F2F"/>
    <w:rsid w:val="004F682D"/>
    <w:rsid w:val="0050201D"/>
    <w:rsid w:val="00502466"/>
    <w:rsid w:val="00502D23"/>
    <w:rsid w:val="0050561B"/>
    <w:rsid w:val="00506757"/>
    <w:rsid w:val="00510015"/>
    <w:rsid w:val="00510F10"/>
    <w:rsid w:val="005112D9"/>
    <w:rsid w:val="00511C42"/>
    <w:rsid w:val="005131D0"/>
    <w:rsid w:val="0051604E"/>
    <w:rsid w:val="005164BD"/>
    <w:rsid w:val="00516C56"/>
    <w:rsid w:val="00522731"/>
    <w:rsid w:val="00531FB7"/>
    <w:rsid w:val="00535D0D"/>
    <w:rsid w:val="005421C1"/>
    <w:rsid w:val="00543060"/>
    <w:rsid w:val="00545033"/>
    <w:rsid w:val="00546C04"/>
    <w:rsid w:val="00547E04"/>
    <w:rsid w:val="0055202D"/>
    <w:rsid w:val="00552EEC"/>
    <w:rsid w:val="00554170"/>
    <w:rsid w:val="005603B9"/>
    <w:rsid w:val="005612C3"/>
    <w:rsid w:val="00564316"/>
    <w:rsid w:val="00564A89"/>
    <w:rsid w:val="00565B41"/>
    <w:rsid w:val="00570CE4"/>
    <w:rsid w:val="00571465"/>
    <w:rsid w:val="0057191A"/>
    <w:rsid w:val="00573A1E"/>
    <w:rsid w:val="00575C05"/>
    <w:rsid w:val="005778D3"/>
    <w:rsid w:val="00577C36"/>
    <w:rsid w:val="00577D27"/>
    <w:rsid w:val="00580820"/>
    <w:rsid w:val="00581908"/>
    <w:rsid w:val="00581FEB"/>
    <w:rsid w:val="00584549"/>
    <w:rsid w:val="00587A29"/>
    <w:rsid w:val="00594833"/>
    <w:rsid w:val="00594DE3"/>
    <w:rsid w:val="00596B04"/>
    <w:rsid w:val="005A4455"/>
    <w:rsid w:val="005A45DA"/>
    <w:rsid w:val="005A4B92"/>
    <w:rsid w:val="005A4E27"/>
    <w:rsid w:val="005B2048"/>
    <w:rsid w:val="005B329B"/>
    <w:rsid w:val="005C0019"/>
    <w:rsid w:val="005C1716"/>
    <w:rsid w:val="005C5273"/>
    <w:rsid w:val="005C76C2"/>
    <w:rsid w:val="005C78F7"/>
    <w:rsid w:val="005D0E3E"/>
    <w:rsid w:val="005D1D48"/>
    <w:rsid w:val="005D2E75"/>
    <w:rsid w:val="005D3EA6"/>
    <w:rsid w:val="005D5305"/>
    <w:rsid w:val="005E0688"/>
    <w:rsid w:val="005E06DF"/>
    <w:rsid w:val="005E0DCB"/>
    <w:rsid w:val="005E1983"/>
    <w:rsid w:val="005E4B10"/>
    <w:rsid w:val="005E6D29"/>
    <w:rsid w:val="005F03B5"/>
    <w:rsid w:val="005F108C"/>
    <w:rsid w:val="00604488"/>
    <w:rsid w:val="00606626"/>
    <w:rsid w:val="00610174"/>
    <w:rsid w:val="00612D7D"/>
    <w:rsid w:val="00613A38"/>
    <w:rsid w:val="00613B53"/>
    <w:rsid w:val="00613C4D"/>
    <w:rsid w:val="0061445A"/>
    <w:rsid w:val="006154BA"/>
    <w:rsid w:val="00615EB5"/>
    <w:rsid w:val="00621CAB"/>
    <w:rsid w:val="00622437"/>
    <w:rsid w:val="006255F2"/>
    <w:rsid w:val="00631256"/>
    <w:rsid w:val="00632DBB"/>
    <w:rsid w:val="00637001"/>
    <w:rsid w:val="006420D4"/>
    <w:rsid w:val="00642959"/>
    <w:rsid w:val="00643334"/>
    <w:rsid w:val="0064556E"/>
    <w:rsid w:val="00654755"/>
    <w:rsid w:val="00655DB8"/>
    <w:rsid w:val="0065691C"/>
    <w:rsid w:val="00657F8B"/>
    <w:rsid w:val="006702AB"/>
    <w:rsid w:val="00670DD9"/>
    <w:rsid w:val="0067235C"/>
    <w:rsid w:val="006729FB"/>
    <w:rsid w:val="00672D4E"/>
    <w:rsid w:val="0067452A"/>
    <w:rsid w:val="00674610"/>
    <w:rsid w:val="00675CB9"/>
    <w:rsid w:val="00676AF0"/>
    <w:rsid w:val="00677F6C"/>
    <w:rsid w:val="0068025A"/>
    <w:rsid w:val="00680589"/>
    <w:rsid w:val="006830AA"/>
    <w:rsid w:val="00683E60"/>
    <w:rsid w:val="0068598A"/>
    <w:rsid w:val="00685D2E"/>
    <w:rsid w:val="00687101"/>
    <w:rsid w:val="00687229"/>
    <w:rsid w:val="00691F74"/>
    <w:rsid w:val="006933BE"/>
    <w:rsid w:val="00695DF3"/>
    <w:rsid w:val="00696E0A"/>
    <w:rsid w:val="006A1F88"/>
    <w:rsid w:val="006A2DF8"/>
    <w:rsid w:val="006A348C"/>
    <w:rsid w:val="006A6D7E"/>
    <w:rsid w:val="006B0A42"/>
    <w:rsid w:val="006B5984"/>
    <w:rsid w:val="006C0657"/>
    <w:rsid w:val="006C2284"/>
    <w:rsid w:val="006C2DF6"/>
    <w:rsid w:val="006C362E"/>
    <w:rsid w:val="006C40B3"/>
    <w:rsid w:val="006C48B8"/>
    <w:rsid w:val="006C50B1"/>
    <w:rsid w:val="006D01AB"/>
    <w:rsid w:val="006D3E97"/>
    <w:rsid w:val="006D43DD"/>
    <w:rsid w:val="006E060F"/>
    <w:rsid w:val="006E23D4"/>
    <w:rsid w:val="006E32DE"/>
    <w:rsid w:val="006E3AA0"/>
    <w:rsid w:val="006E4108"/>
    <w:rsid w:val="006E558E"/>
    <w:rsid w:val="006F08FE"/>
    <w:rsid w:val="006F1392"/>
    <w:rsid w:val="006F4AA1"/>
    <w:rsid w:val="0070272C"/>
    <w:rsid w:val="00707C3C"/>
    <w:rsid w:val="00714133"/>
    <w:rsid w:val="00714850"/>
    <w:rsid w:val="007148C2"/>
    <w:rsid w:val="00717C50"/>
    <w:rsid w:val="00721249"/>
    <w:rsid w:val="007229B2"/>
    <w:rsid w:val="00723681"/>
    <w:rsid w:val="00723CAA"/>
    <w:rsid w:val="00723E16"/>
    <w:rsid w:val="00741D2C"/>
    <w:rsid w:val="00742817"/>
    <w:rsid w:val="00747674"/>
    <w:rsid w:val="007479A4"/>
    <w:rsid w:val="00750C40"/>
    <w:rsid w:val="007515CC"/>
    <w:rsid w:val="00752A1F"/>
    <w:rsid w:val="007549BA"/>
    <w:rsid w:val="007561F1"/>
    <w:rsid w:val="0076040A"/>
    <w:rsid w:val="00762988"/>
    <w:rsid w:val="007709AE"/>
    <w:rsid w:val="00770E61"/>
    <w:rsid w:val="00775298"/>
    <w:rsid w:val="00776CED"/>
    <w:rsid w:val="007835CD"/>
    <w:rsid w:val="00783E32"/>
    <w:rsid w:val="00785B95"/>
    <w:rsid w:val="00790E99"/>
    <w:rsid w:val="00792C80"/>
    <w:rsid w:val="00793829"/>
    <w:rsid w:val="00793A0D"/>
    <w:rsid w:val="00795484"/>
    <w:rsid w:val="00797135"/>
    <w:rsid w:val="00797FE2"/>
    <w:rsid w:val="007A1E6A"/>
    <w:rsid w:val="007A1FEB"/>
    <w:rsid w:val="007A20EB"/>
    <w:rsid w:val="007A3305"/>
    <w:rsid w:val="007A4DA1"/>
    <w:rsid w:val="007A6744"/>
    <w:rsid w:val="007A68BE"/>
    <w:rsid w:val="007A7A7D"/>
    <w:rsid w:val="007B045B"/>
    <w:rsid w:val="007B2E58"/>
    <w:rsid w:val="007B634F"/>
    <w:rsid w:val="007C17A6"/>
    <w:rsid w:val="007C46A1"/>
    <w:rsid w:val="007D0336"/>
    <w:rsid w:val="007D0B4D"/>
    <w:rsid w:val="007D1727"/>
    <w:rsid w:val="007D3D9E"/>
    <w:rsid w:val="007D4F5A"/>
    <w:rsid w:val="007D50BC"/>
    <w:rsid w:val="007D6D39"/>
    <w:rsid w:val="007D784E"/>
    <w:rsid w:val="007E36E8"/>
    <w:rsid w:val="007E4317"/>
    <w:rsid w:val="007E47A3"/>
    <w:rsid w:val="007E73DC"/>
    <w:rsid w:val="007E764F"/>
    <w:rsid w:val="007F14F4"/>
    <w:rsid w:val="007F52D0"/>
    <w:rsid w:val="008004E6"/>
    <w:rsid w:val="00800AB1"/>
    <w:rsid w:val="00801057"/>
    <w:rsid w:val="0080259A"/>
    <w:rsid w:val="00802D1B"/>
    <w:rsid w:val="00802DDC"/>
    <w:rsid w:val="00803681"/>
    <w:rsid w:val="00804C5D"/>
    <w:rsid w:val="00807B2A"/>
    <w:rsid w:val="008109BB"/>
    <w:rsid w:val="00810B1E"/>
    <w:rsid w:val="00814F1C"/>
    <w:rsid w:val="00816798"/>
    <w:rsid w:val="008236FA"/>
    <w:rsid w:val="00823736"/>
    <w:rsid w:val="0082477B"/>
    <w:rsid w:val="00824825"/>
    <w:rsid w:val="00826117"/>
    <w:rsid w:val="00827597"/>
    <w:rsid w:val="008302C0"/>
    <w:rsid w:val="00832F7B"/>
    <w:rsid w:val="00833224"/>
    <w:rsid w:val="00833FD1"/>
    <w:rsid w:val="008346DE"/>
    <w:rsid w:val="0083491B"/>
    <w:rsid w:val="00836365"/>
    <w:rsid w:val="00840706"/>
    <w:rsid w:val="008425ED"/>
    <w:rsid w:val="008439C8"/>
    <w:rsid w:val="008440DA"/>
    <w:rsid w:val="008444C5"/>
    <w:rsid w:val="00845B14"/>
    <w:rsid w:val="00850CB4"/>
    <w:rsid w:val="00861EEF"/>
    <w:rsid w:val="00872E9D"/>
    <w:rsid w:val="00873636"/>
    <w:rsid w:val="00873D2B"/>
    <w:rsid w:val="00874A71"/>
    <w:rsid w:val="00874FED"/>
    <w:rsid w:val="00877B10"/>
    <w:rsid w:val="00880D85"/>
    <w:rsid w:val="00880E51"/>
    <w:rsid w:val="00880FC2"/>
    <w:rsid w:val="00882F0A"/>
    <w:rsid w:val="00883CFB"/>
    <w:rsid w:val="0088406D"/>
    <w:rsid w:val="0088697E"/>
    <w:rsid w:val="00887157"/>
    <w:rsid w:val="00887163"/>
    <w:rsid w:val="00891346"/>
    <w:rsid w:val="008914D8"/>
    <w:rsid w:val="008926B9"/>
    <w:rsid w:val="0089306E"/>
    <w:rsid w:val="0089735F"/>
    <w:rsid w:val="00897AFB"/>
    <w:rsid w:val="008A1479"/>
    <w:rsid w:val="008A23C1"/>
    <w:rsid w:val="008A4F72"/>
    <w:rsid w:val="008A5F53"/>
    <w:rsid w:val="008A6D3E"/>
    <w:rsid w:val="008B0650"/>
    <w:rsid w:val="008B2D29"/>
    <w:rsid w:val="008B34EE"/>
    <w:rsid w:val="008B42BB"/>
    <w:rsid w:val="008B65FE"/>
    <w:rsid w:val="008C04AB"/>
    <w:rsid w:val="008C3115"/>
    <w:rsid w:val="008C4061"/>
    <w:rsid w:val="008D1E9E"/>
    <w:rsid w:val="008D2C07"/>
    <w:rsid w:val="008D2DC9"/>
    <w:rsid w:val="008D4A17"/>
    <w:rsid w:val="008D4FF3"/>
    <w:rsid w:val="008D60E3"/>
    <w:rsid w:val="008D675D"/>
    <w:rsid w:val="008D7DDC"/>
    <w:rsid w:val="008E0F2A"/>
    <w:rsid w:val="008F14C0"/>
    <w:rsid w:val="008F361C"/>
    <w:rsid w:val="00900C27"/>
    <w:rsid w:val="00900DB9"/>
    <w:rsid w:val="00900F42"/>
    <w:rsid w:val="0090473E"/>
    <w:rsid w:val="0090608A"/>
    <w:rsid w:val="00906723"/>
    <w:rsid w:val="00907D08"/>
    <w:rsid w:val="00912AE5"/>
    <w:rsid w:val="0091364E"/>
    <w:rsid w:val="00914169"/>
    <w:rsid w:val="009160A6"/>
    <w:rsid w:val="0092075D"/>
    <w:rsid w:val="00921500"/>
    <w:rsid w:val="00921C22"/>
    <w:rsid w:val="0092352C"/>
    <w:rsid w:val="00923ED6"/>
    <w:rsid w:val="0092656F"/>
    <w:rsid w:val="00932388"/>
    <w:rsid w:val="00933A53"/>
    <w:rsid w:val="009374CF"/>
    <w:rsid w:val="009379D8"/>
    <w:rsid w:val="009416FC"/>
    <w:rsid w:val="00944B37"/>
    <w:rsid w:val="00946AE5"/>
    <w:rsid w:val="00947F04"/>
    <w:rsid w:val="009530C9"/>
    <w:rsid w:val="00953CEE"/>
    <w:rsid w:val="00957109"/>
    <w:rsid w:val="00963560"/>
    <w:rsid w:val="00967A9C"/>
    <w:rsid w:val="0098096F"/>
    <w:rsid w:val="009809EA"/>
    <w:rsid w:val="00980B1C"/>
    <w:rsid w:val="00980F4A"/>
    <w:rsid w:val="00981F55"/>
    <w:rsid w:val="00985BEA"/>
    <w:rsid w:val="00986C1E"/>
    <w:rsid w:val="009879A7"/>
    <w:rsid w:val="00991A76"/>
    <w:rsid w:val="00996B67"/>
    <w:rsid w:val="009A0E09"/>
    <w:rsid w:val="009A2ACC"/>
    <w:rsid w:val="009A4985"/>
    <w:rsid w:val="009A5C99"/>
    <w:rsid w:val="009A65C3"/>
    <w:rsid w:val="009A68E8"/>
    <w:rsid w:val="009B0EE5"/>
    <w:rsid w:val="009B614C"/>
    <w:rsid w:val="009B68B3"/>
    <w:rsid w:val="009B6F4A"/>
    <w:rsid w:val="009C002F"/>
    <w:rsid w:val="009C21B3"/>
    <w:rsid w:val="009C3A83"/>
    <w:rsid w:val="009C4B3C"/>
    <w:rsid w:val="009D01D1"/>
    <w:rsid w:val="009D197F"/>
    <w:rsid w:val="009D1BB2"/>
    <w:rsid w:val="009D3DC7"/>
    <w:rsid w:val="009D4410"/>
    <w:rsid w:val="009D5C33"/>
    <w:rsid w:val="009D72CE"/>
    <w:rsid w:val="009E0AE7"/>
    <w:rsid w:val="009E29C7"/>
    <w:rsid w:val="009E4B53"/>
    <w:rsid w:val="009F3403"/>
    <w:rsid w:val="009F4174"/>
    <w:rsid w:val="009F524B"/>
    <w:rsid w:val="00A023F5"/>
    <w:rsid w:val="00A03EFB"/>
    <w:rsid w:val="00A040B3"/>
    <w:rsid w:val="00A12C01"/>
    <w:rsid w:val="00A14337"/>
    <w:rsid w:val="00A14F3A"/>
    <w:rsid w:val="00A16F09"/>
    <w:rsid w:val="00A23539"/>
    <w:rsid w:val="00A25D9D"/>
    <w:rsid w:val="00A25DA2"/>
    <w:rsid w:val="00A26432"/>
    <w:rsid w:val="00A33A5E"/>
    <w:rsid w:val="00A34EB3"/>
    <w:rsid w:val="00A3781A"/>
    <w:rsid w:val="00A37CC7"/>
    <w:rsid w:val="00A40F68"/>
    <w:rsid w:val="00A4237B"/>
    <w:rsid w:val="00A45A69"/>
    <w:rsid w:val="00A47BDD"/>
    <w:rsid w:val="00A47BE2"/>
    <w:rsid w:val="00A50C81"/>
    <w:rsid w:val="00A51811"/>
    <w:rsid w:val="00A5296A"/>
    <w:rsid w:val="00A52ADB"/>
    <w:rsid w:val="00A53BC0"/>
    <w:rsid w:val="00A54708"/>
    <w:rsid w:val="00A570FC"/>
    <w:rsid w:val="00A623E9"/>
    <w:rsid w:val="00A6421F"/>
    <w:rsid w:val="00A645F1"/>
    <w:rsid w:val="00A67BB1"/>
    <w:rsid w:val="00A709DF"/>
    <w:rsid w:val="00A71FF9"/>
    <w:rsid w:val="00A744D5"/>
    <w:rsid w:val="00A75D98"/>
    <w:rsid w:val="00A767B1"/>
    <w:rsid w:val="00A80046"/>
    <w:rsid w:val="00A81195"/>
    <w:rsid w:val="00A81C13"/>
    <w:rsid w:val="00A8229B"/>
    <w:rsid w:val="00A8312E"/>
    <w:rsid w:val="00A83F61"/>
    <w:rsid w:val="00A86DDC"/>
    <w:rsid w:val="00A92632"/>
    <w:rsid w:val="00A92C64"/>
    <w:rsid w:val="00A965B3"/>
    <w:rsid w:val="00AA265C"/>
    <w:rsid w:val="00AA367C"/>
    <w:rsid w:val="00AA4A45"/>
    <w:rsid w:val="00AB4BF4"/>
    <w:rsid w:val="00AB5D3B"/>
    <w:rsid w:val="00AB5D8A"/>
    <w:rsid w:val="00AC225E"/>
    <w:rsid w:val="00AC560F"/>
    <w:rsid w:val="00AD0124"/>
    <w:rsid w:val="00AD469B"/>
    <w:rsid w:val="00AD4838"/>
    <w:rsid w:val="00AD648C"/>
    <w:rsid w:val="00AE2523"/>
    <w:rsid w:val="00AE359C"/>
    <w:rsid w:val="00AF2B94"/>
    <w:rsid w:val="00AF3422"/>
    <w:rsid w:val="00AF53C8"/>
    <w:rsid w:val="00AF7C54"/>
    <w:rsid w:val="00B0063A"/>
    <w:rsid w:val="00B00CF9"/>
    <w:rsid w:val="00B03661"/>
    <w:rsid w:val="00B04FC9"/>
    <w:rsid w:val="00B05452"/>
    <w:rsid w:val="00B066AB"/>
    <w:rsid w:val="00B10ED2"/>
    <w:rsid w:val="00B11A50"/>
    <w:rsid w:val="00B12245"/>
    <w:rsid w:val="00B12A99"/>
    <w:rsid w:val="00B1697F"/>
    <w:rsid w:val="00B17017"/>
    <w:rsid w:val="00B17F2D"/>
    <w:rsid w:val="00B200BB"/>
    <w:rsid w:val="00B22084"/>
    <w:rsid w:val="00B22E2F"/>
    <w:rsid w:val="00B23528"/>
    <w:rsid w:val="00B235C6"/>
    <w:rsid w:val="00B23D37"/>
    <w:rsid w:val="00B251BC"/>
    <w:rsid w:val="00B2531E"/>
    <w:rsid w:val="00B25DA7"/>
    <w:rsid w:val="00B30579"/>
    <w:rsid w:val="00B33761"/>
    <w:rsid w:val="00B3743A"/>
    <w:rsid w:val="00B37FDF"/>
    <w:rsid w:val="00B4093F"/>
    <w:rsid w:val="00B41D4D"/>
    <w:rsid w:val="00B4237C"/>
    <w:rsid w:val="00B479F9"/>
    <w:rsid w:val="00B500CD"/>
    <w:rsid w:val="00B5159D"/>
    <w:rsid w:val="00B51E2B"/>
    <w:rsid w:val="00B657F8"/>
    <w:rsid w:val="00B65FF9"/>
    <w:rsid w:val="00B7057F"/>
    <w:rsid w:val="00B72149"/>
    <w:rsid w:val="00B724DA"/>
    <w:rsid w:val="00B75957"/>
    <w:rsid w:val="00B77E27"/>
    <w:rsid w:val="00B77EB1"/>
    <w:rsid w:val="00B8094E"/>
    <w:rsid w:val="00B838CD"/>
    <w:rsid w:val="00B8506A"/>
    <w:rsid w:val="00B86D0D"/>
    <w:rsid w:val="00B872E4"/>
    <w:rsid w:val="00B8730A"/>
    <w:rsid w:val="00B87D86"/>
    <w:rsid w:val="00B9166E"/>
    <w:rsid w:val="00B93234"/>
    <w:rsid w:val="00B951D4"/>
    <w:rsid w:val="00B96999"/>
    <w:rsid w:val="00B971AF"/>
    <w:rsid w:val="00BA0A5C"/>
    <w:rsid w:val="00BA1C48"/>
    <w:rsid w:val="00BA1E59"/>
    <w:rsid w:val="00BA2F9E"/>
    <w:rsid w:val="00BA4D25"/>
    <w:rsid w:val="00BA4D7B"/>
    <w:rsid w:val="00BA52EE"/>
    <w:rsid w:val="00BA550D"/>
    <w:rsid w:val="00BB3C19"/>
    <w:rsid w:val="00BB4D57"/>
    <w:rsid w:val="00BB4F2D"/>
    <w:rsid w:val="00BB7616"/>
    <w:rsid w:val="00BB7A50"/>
    <w:rsid w:val="00BB7EC3"/>
    <w:rsid w:val="00BC1FEA"/>
    <w:rsid w:val="00BC38AD"/>
    <w:rsid w:val="00BC39C5"/>
    <w:rsid w:val="00BC663E"/>
    <w:rsid w:val="00BC7938"/>
    <w:rsid w:val="00BD0D00"/>
    <w:rsid w:val="00BD3625"/>
    <w:rsid w:val="00BD3710"/>
    <w:rsid w:val="00BD3A30"/>
    <w:rsid w:val="00BD4225"/>
    <w:rsid w:val="00BD4A00"/>
    <w:rsid w:val="00BE0DB6"/>
    <w:rsid w:val="00BE47E0"/>
    <w:rsid w:val="00BE76F9"/>
    <w:rsid w:val="00BF10DB"/>
    <w:rsid w:val="00BF221E"/>
    <w:rsid w:val="00BF3CDD"/>
    <w:rsid w:val="00BF46ED"/>
    <w:rsid w:val="00BF5EBA"/>
    <w:rsid w:val="00C01247"/>
    <w:rsid w:val="00C017A6"/>
    <w:rsid w:val="00C03ED1"/>
    <w:rsid w:val="00C047DF"/>
    <w:rsid w:val="00C100CF"/>
    <w:rsid w:val="00C10500"/>
    <w:rsid w:val="00C10615"/>
    <w:rsid w:val="00C10DE2"/>
    <w:rsid w:val="00C15D4A"/>
    <w:rsid w:val="00C1651C"/>
    <w:rsid w:val="00C20BDF"/>
    <w:rsid w:val="00C21C1E"/>
    <w:rsid w:val="00C21EE4"/>
    <w:rsid w:val="00C227DD"/>
    <w:rsid w:val="00C252E6"/>
    <w:rsid w:val="00C3276E"/>
    <w:rsid w:val="00C370DF"/>
    <w:rsid w:val="00C41916"/>
    <w:rsid w:val="00C44523"/>
    <w:rsid w:val="00C44A12"/>
    <w:rsid w:val="00C519FF"/>
    <w:rsid w:val="00C53C3B"/>
    <w:rsid w:val="00C543AF"/>
    <w:rsid w:val="00C543FC"/>
    <w:rsid w:val="00C616C4"/>
    <w:rsid w:val="00C621F0"/>
    <w:rsid w:val="00C62287"/>
    <w:rsid w:val="00C64383"/>
    <w:rsid w:val="00C659FE"/>
    <w:rsid w:val="00C70889"/>
    <w:rsid w:val="00C70AD6"/>
    <w:rsid w:val="00C765EE"/>
    <w:rsid w:val="00C83C4E"/>
    <w:rsid w:val="00C84C19"/>
    <w:rsid w:val="00C8640B"/>
    <w:rsid w:val="00C944C5"/>
    <w:rsid w:val="00C953A4"/>
    <w:rsid w:val="00C95506"/>
    <w:rsid w:val="00C96904"/>
    <w:rsid w:val="00C969E7"/>
    <w:rsid w:val="00C97720"/>
    <w:rsid w:val="00CA03BD"/>
    <w:rsid w:val="00CA0A68"/>
    <w:rsid w:val="00CA3DAF"/>
    <w:rsid w:val="00CA6D10"/>
    <w:rsid w:val="00CB35A7"/>
    <w:rsid w:val="00CB54CC"/>
    <w:rsid w:val="00CC1390"/>
    <w:rsid w:val="00CC599F"/>
    <w:rsid w:val="00CC71D6"/>
    <w:rsid w:val="00CD053D"/>
    <w:rsid w:val="00CD333D"/>
    <w:rsid w:val="00CD6AFB"/>
    <w:rsid w:val="00CD7392"/>
    <w:rsid w:val="00CD7FD0"/>
    <w:rsid w:val="00CE00D0"/>
    <w:rsid w:val="00CE21B9"/>
    <w:rsid w:val="00CE24C9"/>
    <w:rsid w:val="00CE51F4"/>
    <w:rsid w:val="00CE76CA"/>
    <w:rsid w:val="00CF3C7F"/>
    <w:rsid w:val="00CF3D71"/>
    <w:rsid w:val="00CF5465"/>
    <w:rsid w:val="00CF6938"/>
    <w:rsid w:val="00CF724B"/>
    <w:rsid w:val="00CF7968"/>
    <w:rsid w:val="00CF7BC1"/>
    <w:rsid w:val="00D002BD"/>
    <w:rsid w:val="00D0128D"/>
    <w:rsid w:val="00D03739"/>
    <w:rsid w:val="00D066E5"/>
    <w:rsid w:val="00D11029"/>
    <w:rsid w:val="00D1108F"/>
    <w:rsid w:val="00D116C0"/>
    <w:rsid w:val="00D11A05"/>
    <w:rsid w:val="00D11F70"/>
    <w:rsid w:val="00D128AE"/>
    <w:rsid w:val="00D13E27"/>
    <w:rsid w:val="00D162CC"/>
    <w:rsid w:val="00D17098"/>
    <w:rsid w:val="00D20612"/>
    <w:rsid w:val="00D210BC"/>
    <w:rsid w:val="00D228D3"/>
    <w:rsid w:val="00D2355B"/>
    <w:rsid w:val="00D25F44"/>
    <w:rsid w:val="00D31B1F"/>
    <w:rsid w:val="00D320AF"/>
    <w:rsid w:val="00D327DF"/>
    <w:rsid w:val="00D33327"/>
    <w:rsid w:val="00D34C83"/>
    <w:rsid w:val="00D40C91"/>
    <w:rsid w:val="00D41A4E"/>
    <w:rsid w:val="00D43567"/>
    <w:rsid w:val="00D46A9A"/>
    <w:rsid w:val="00D47B21"/>
    <w:rsid w:val="00D47F55"/>
    <w:rsid w:val="00D52847"/>
    <w:rsid w:val="00D54CB2"/>
    <w:rsid w:val="00D56CEE"/>
    <w:rsid w:val="00D60347"/>
    <w:rsid w:val="00D61C4D"/>
    <w:rsid w:val="00D6277C"/>
    <w:rsid w:val="00D63C52"/>
    <w:rsid w:val="00D72E3B"/>
    <w:rsid w:val="00D73D91"/>
    <w:rsid w:val="00D73E87"/>
    <w:rsid w:val="00D747FC"/>
    <w:rsid w:val="00D81471"/>
    <w:rsid w:val="00D814D8"/>
    <w:rsid w:val="00D820AB"/>
    <w:rsid w:val="00D8286D"/>
    <w:rsid w:val="00D84951"/>
    <w:rsid w:val="00D918E2"/>
    <w:rsid w:val="00D92288"/>
    <w:rsid w:val="00D93769"/>
    <w:rsid w:val="00D938DF"/>
    <w:rsid w:val="00D97C8E"/>
    <w:rsid w:val="00DA038B"/>
    <w:rsid w:val="00DA1245"/>
    <w:rsid w:val="00DA4AD4"/>
    <w:rsid w:val="00DB06A3"/>
    <w:rsid w:val="00DB2671"/>
    <w:rsid w:val="00DC13D2"/>
    <w:rsid w:val="00DC2497"/>
    <w:rsid w:val="00DC39DD"/>
    <w:rsid w:val="00DC601C"/>
    <w:rsid w:val="00DC7633"/>
    <w:rsid w:val="00DD0CEB"/>
    <w:rsid w:val="00DD4D16"/>
    <w:rsid w:val="00DE1D05"/>
    <w:rsid w:val="00DE1EAC"/>
    <w:rsid w:val="00DE50C3"/>
    <w:rsid w:val="00DE5117"/>
    <w:rsid w:val="00DE612C"/>
    <w:rsid w:val="00DE748D"/>
    <w:rsid w:val="00DE7AE2"/>
    <w:rsid w:val="00DF022A"/>
    <w:rsid w:val="00DF05B1"/>
    <w:rsid w:val="00DF0BD0"/>
    <w:rsid w:val="00DF260B"/>
    <w:rsid w:val="00DF2A55"/>
    <w:rsid w:val="00DF489F"/>
    <w:rsid w:val="00DF72B6"/>
    <w:rsid w:val="00E00D77"/>
    <w:rsid w:val="00E01342"/>
    <w:rsid w:val="00E026BF"/>
    <w:rsid w:val="00E031B4"/>
    <w:rsid w:val="00E0370F"/>
    <w:rsid w:val="00E04633"/>
    <w:rsid w:val="00E106D0"/>
    <w:rsid w:val="00E11566"/>
    <w:rsid w:val="00E12565"/>
    <w:rsid w:val="00E21E6A"/>
    <w:rsid w:val="00E23AEA"/>
    <w:rsid w:val="00E23FB4"/>
    <w:rsid w:val="00E309EC"/>
    <w:rsid w:val="00E3101A"/>
    <w:rsid w:val="00E31143"/>
    <w:rsid w:val="00E32314"/>
    <w:rsid w:val="00E332EB"/>
    <w:rsid w:val="00E334AF"/>
    <w:rsid w:val="00E35281"/>
    <w:rsid w:val="00E37228"/>
    <w:rsid w:val="00E37E1C"/>
    <w:rsid w:val="00E40B57"/>
    <w:rsid w:val="00E426D1"/>
    <w:rsid w:val="00E43187"/>
    <w:rsid w:val="00E44149"/>
    <w:rsid w:val="00E46D6F"/>
    <w:rsid w:val="00E5103E"/>
    <w:rsid w:val="00E52D26"/>
    <w:rsid w:val="00E53366"/>
    <w:rsid w:val="00E54064"/>
    <w:rsid w:val="00E61622"/>
    <w:rsid w:val="00E625D3"/>
    <w:rsid w:val="00E63B07"/>
    <w:rsid w:val="00E63D4C"/>
    <w:rsid w:val="00E64025"/>
    <w:rsid w:val="00E700C8"/>
    <w:rsid w:val="00E7664B"/>
    <w:rsid w:val="00E77458"/>
    <w:rsid w:val="00E81C07"/>
    <w:rsid w:val="00E83C74"/>
    <w:rsid w:val="00E84952"/>
    <w:rsid w:val="00E8536C"/>
    <w:rsid w:val="00E858D2"/>
    <w:rsid w:val="00E85F33"/>
    <w:rsid w:val="00E87213"/>
    <w:rsid w:val="00E92096"/>
    <w:rsid w:val="00E94BA1"/>
    <w:rsid w:val="00E964A8"/>
    <w:rsid w:val="00E97549"/>
    <w:rsid w:val="00EA0484"/>
    <w:rsid w:val="00EA1B92"/>
    <w:rsid w:val="00EA22F7"/>
    <w:rsid w:val="00EA2EC2"/>
    <w:rsid w:val="00EA5550"/>
    <w:rsid w:val="00EA60B1"/>
    <w:rsid w:val="00EB1482"/>
    <w:rsid w:val="00EB336E"/>
    <w:rsid w:val="00EB356E"/>
    <w:rsid w:val="00EB38AA"/>
    <w:rsid w:val="00EB4A46"/>
    <w:rsid w:val="00EB5C1F"/>
    <w:rsid w:val="00EB6838"/>
    <w:rsid w:val="00EC0F61"/>
    <w:rsid w:val="00EC412F"/>
    <w:rsid w:val="00EC6396"/>
    <w:rsid w:val="00EC6BCC"/>
    <w:rsid w:val="00ED0891"/>
    <w:rsid w:val="00ED0928"/>
    <w:rsid w:val="00ED11BF"/>
    <w:rsid w:val="00ED36E7"/>
    <w:rsid w:val="00ED3BB1"/>
    <w:rsid w:val="00ED403D"/>
    <w:rsid w:val="00ED4E58"/>
    <w:rsid w:val="00EE1049"/>
    <w:rsid w:val="00EE27BD"/>
    <w:rsid w:val="00EE3A63"/>
    <w:rsid w:val="00EE73FF"/>
    <w:rsid w:val="00EF14AC"/>
    <w:rsid w:val="00EF3852"/>
    <w:rsid w:val="00EF3E31"/>
    <w:rsid w:val="00EF6A87"/>
    <w:rsid w:val="00F0006A"/>
    <w:rsid w:val="00F025E6"/>
    <w:rsid w:val="00F02F39"/>
    <w:rsid w:val="00F03779"/>
    <w:rsid w:val="00F04989"/>
    <w:rsid w:val="00F05FFF"/>
    <w:rsid w:val="00F1062A"/>
    <w:rsid w:val="00F10F7F"/>
    <w:rsid w:val="00F14879"/>
    <w:rsid w:val="00F15CC9"/>
    <w:rsid w:val="00F16920"/>
    <w:rsid w:val="00F214F4"/>
    <w:rsid w:val="00F24D14"/>
    <w:rsid w:val="00F25BC7"/>
    <w:rsid w:val="00F25C7A"/>
    <w:rsid w:val="00F27BFB"/>
    <w:rsid w:val="00F30AFD"/>
    <w:rsid w:val="00F3129E"/>
    <w:rsid w:val="00F326C7"/>
    <w:rsid w:val="00F32CD4"/>
    <w:rsid w:val="00F3455F"/>
    <w:rsid w:val="00F3515A"/>
    <w:rsid w:val="00F36D48"/>
    <w:rsid w:val="00F40596"/>
    <w:rsid w:val="00F43B0B"/>
    <w:rsid w:val="00F43DFC"/>
    <w:rsid w:val="00F43E15"/>
    <w:rsid w:val="00F46130"/>
    <w:rsid w:val="00F46A10"/>
    <w:rsid w:val="00F46DF9"/>
    <w:rsid w:val="00F51772"/>
    <w:rsid w:val="00F5617A"/>
    <w:rsid w:val="00F57491"/>
    <w:rsid w:val="00F57664"/>
    <w:rsid w:val="00F62B1F"/>
    <w:rsid w:val="00F6370C"/>
    <w:rsid w:val="00F72661"/>
    <w:rsid w:val="00F74A6B"/>
    <w:rsid w:val="00F74A95"/>
    <w:rsid w:val="00F7566F"/>
    <w:rsid w:val="00F7773E"/>
    <w:rsid w:val="00F80686"/>
    <w:rsid w:val="00F80A99"/>
    <w:rsid w:val="00F80FF0"/>
    <w:rsid w:val="00F85539"/>
    <w:rsid w:val="00F85BCE"/>
    <w:rsid w:val="00F863F4"/>
    <w:rsid w:val="00F907A4"/>
    <w:rsid w:val="00F9257F"/>
    <w:rsid w:val="00F92A64"/>
    <w:rsid w:val="00F94A2E"/>
    <w:rsid w:val="00F956FA"/>
    <w:rsid w:val="00F964BA"/>
    <w:rsid w:val="00F96A9E"/>
    <w:rsid w:val="00F972D4"/>
    <w:rsid w:val="00F97558"/>
    <w:rsid w:val="00F9785B"/>
    <w:rsid w:val="00FA7612"/>
    <w:rsid w:val="00FA7E5A"/>
    <w:rsid w:val="00FB07F7"/>
    <w:rsid w:val="00FB1813"/>
    <w:rsid w:val="00FB1E98"/>
    <w:rsid w:val="00FB29CD"/>
    <w:rsid w:val="00FB4A9B"/>
    <w:rsid w:val="00FB51CA"/>
    <w:rsid w:val="00FB53B5"/>
    <w:rsid w:val="00FC0BBF"/>
    <w:rsid w:val="00FC5681"/>
    <w:rsid w:val="00FD1730"/>
    <w:rsid w:val="00FD1814"/>
    <w:rsid w:val="00FD46AC"/>
    <w:rsid w:val="00FD6EBD"/>
    <w:rsid w:val="00FD7E95"/>
    <w:rsid w:val="00FE02CA"/>
    <w:rsid w:val="00FE22C9"/>
    <w:rsid w:val="00FE3D8F"/>
    <w:rsid w:val="00FE5AEC"/>
    <w:rsid w:val="00FF4EDB"/>
    <w:rsid w:val="00FF50D6"/>
    <w:rsid w:val="00FF6CC1"/>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C910"/>
  <w15:docId w15:val="{CBD873EF-2468-47AC-92B0-13914B53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2F"/>
    <w:rPr>
      <w:rFonts w:ascii="Arial" w:eastAsia="Times New Roman" w:hAnsi="Arial"/>
      <w:sz w:val="22"/>
    </w:rPr>
  </w:style>
  <w:style w:type="paragraph" w:styleId="Heading1">
    <w:name w:val="heading 1"/>
    <w:basedOn w:val="Normal"/>
    <w:next w:val="Normal"/>
    <w:link w:val="Heading1Char"/>
    <w:uiPriority w:val="9"/>
    <w:qFormat/>
    <w:rsid w:val="00103D3D"/>
    <w:pPr>
      <w:keepNext/>
      <w:keepLines/>
      <w:numPr>
        <w:numId w:val="42"/>
      </w:numPr>
      <w:spacing w:before="240" w:line="360" w:lineRule="auto"/>
      <w:outlineLvl w:val="0"/>
    </w:pPr>
    <w:rPr>
      <w:rFonts w:cs="Arial"/>
      <w:b/>
      <w:snapToGrid w:val="0"/>
      <w:szCs w:val="22"/>
    </w:rPr>
  </w:style>
  <w:style w:type="paragraph" w:styleId="Heading2">
    <w:name w:val="heading 2"/>
    <w:basedOn w:val="Normal"/>
    <w:next w:val="Normal"/>
    <w:link w:val="Heading2Char"/>
    <w:uiPriority w:val="9"/>
    <w:unhideWhenUsed/>
    <w:qFormat/>
    <w:rsid w:val="00B8506A"/>
    <w:pPr>
      <w:numPr>
        <w:ilvl w:val="1"/>
        <w:numId w:val="42"/>
      </w:numPr>
      <w:spacing w:before="120" w:line="360" w:lineRule="auto"/>
      <w:outlineLvl w:val="1"/>
    </w:pPr>
    <w:rPr>
      <w:rFonts w:eastAsiaTheme="majorEastAsia" w:cs="Arial"/>
      <w:snapToGrid w:val="0"/>
      <w:szCs w:val="22"/>
    </w:rPr>
  </w:style>
  <w:style w:type="paragraph" w:styleId="Heading3">
    <w:name w:val="heading 3"/>
    <w:basedOn w:val="Normal"/>
    <w:next w:val="Normal"/>
    <w:link w:val="Heading3Char"/>
    <w:uiPriority w:val="9"/>
    <w:unhideWhenUsed/>
    <w:qFormat/>
    <w:rsid w:val="00B8506A"/>
    <w:pPr>
      <w:numPr>
        <w:ilvl w:val="2"/>
        <w:numId w:val="42"/>
      </w:numPr>
      <w:spacing w:line="360" w:lineRule="auto"/>
      <w:outlineLvl w:val="2"/>
    </w:pPr>
    <w:rPr>
      <w:rFonts w:eastAsiaTheme="majorEastAsia" w:cs="Arial"/>
      <w:snapToGrid w:val="0"/>
      <w:szCs w:val="22"/>
    </w:rPr>
  </w:style>
  <w:style w:type="paragraph" w:styleId="Heading4">
    <w:name w:val="heading 4"/>
    <w:basedOn w:val="Normal"/>
    <w:next w:val="Normal"/>
    <w:link w:val="Heading4Char"/>
    <w:uiPriority w:val="9"/>
    <w:unhideWhenUsed/>
    <w:qFormat/>
    <w:rsid w:val="00B8506A"/>
    <w:pPr>
      <w:keepLines/>
      <w:numPr>
        <w:ilvl w:val="3"/>
        <w:numId w:val="42"/>
      </w:numPr>
      <w:spacing w:line="360" w:lineRule="auto"/>
      <w:outlineLvl w:val="3"/>
    </w:pPr>
    <w:rPr>
      <w:rFonts w:eastAsiaTheme="majorEastAsia" w:cs="Arial"/>
    </w:rPr>
  </w:style>
  <w:style w:type="paragraph" w:styleId="Heading5">
    <w:name w:val="heading 5"/>
    <w:basedOn w:val="Normal"/>
    <w:next w:val="Normal"/>
    <w:link w:val="Heading5Char"/>
    <w:uiPriority w:val="9"/>
    <w:unhideWhenUsed/>
    <w:qFormat/>
    <w:rsid w:val="00B8506A"/>
    <w:pPr>
      <w:keepNext/>
      <w:keepLines/>
      <w:numPr>
        <w:ilvl w:val="4"/>
        <w:numId w:val="42"/>
      </w:numPr>
      <w:spacing w:line="360" w:lineRule="auto"/>
      <w:ind w:left="2250"/>
      <w:outlineLvl w:val="4"/>
    </w:pPr>
    <w:rPr>
      <w:rFonts w:eastAsiaTheme="majorEastAsia" w:cstheme="majorBidi"/>
      <w:snapToGrid w:val="0"/>
    </w:rPr>
  </w:style>
  <w:style w:type="paragraph" w:styleId="Heading6">
    <w:name w:val="heading 6"/>
    <w:basedOn w:val="Normal"/>
    <w:next w:val="Normal"/>
    <w:link w:val="Heading6Char"/>
    <w:uiPriority w:val="9"/>
    <w:unhideWhenUsed/>
    <w:qFormat/>
    <w:rsid w:val="00B8506A"/>
    <w:pPr>
      <w:keepNext/>
      <w:keepLines/>
      <w:numPr>
        <w:ilvl w:val="5"/>
        <w:numId w:val="42"/>
      </w:numPr>
      <w:spacing w:line="300" w:lineRule="auto"/>
      <w:ind w:left="2610" w:hanging="360"/>
      <w:outlineLvl w:val="5"/>
    </w:pPr>
    <w:rPr>
      <w:rFonts w:eastAsiaTheme="majorEastAsia" w:cs="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550D"/>
    <w:rPr>
      <w:color w:val="0000FF"/>
      <w:u w:val="single"/>
    </w:rPr>
  </w:style>
  <w:style w:type="paragraph" w:styleId="ListParagraph">
    <w:name w:val="List Paragraph"/>
    <w:basedOn w:val="Normal"/>
    <w:uiPriority w:val="34"/>
    <w:qFormat/>
    <w:rsid w:val="004F5F2F"/>
    <w:pPr>
      <w:ind w:left="720"/>
      <w:contextualSpacing/>
      <w:jc w:val="both"/>
    </w:pPr>
    <w:rPr>
      <w:rFonts w:ascii="Times New Roman" w:eastAsia="Calibri" w:hAnsi="Times New Roman"/>
      <w:sz w:val="24"/>
      <w:szCs w:val="24"/>
    </w:rPr>
  </w:style>
  <w:style w:type="character" w:styleId="CommentReference">
    <w:name w:val="annotation reference"/>
    <w:rsid w:val="004F5F2F"/>
    <w:rPr>
      <w:sz w:val="16"/>
      <w:szCs w:val="16"/>
    </w:rPr>
  </w:style>
  <w:style w:type="paragraph" w:styleId="CommentText">
    <w:name w:val="annotation text"/>
    <w:basedOn w:val="Normal"/>
    <w:link w:val="CommentTextChar"/>
    <w:rsid w:val="004F5F2F"/>
    <w:pPr>
      <w:spacing w:line="480" w:lineRule="auto"/>
      <w:ind w:right="120" w:firstLine="720"/>
    </w:pPr>
    <w:rPr>
      <w:sz w:val="20"/>
      <w:lang w:val="x-none" w:eastAsia="x-none"/>
    </w:rPr>
  </w:style>
  <w:style w:type="character" w:customStyle="1" w:styleId="CommentTextChar">
    <w:name w:val="Comment Text Char"/>
    <w:link w:val="CommentText"/>
    <w:rsid w:val="004F5F2F"/>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4F5F2F"/>
    <w:pPr>
      <w:ind w:right="120" w:firstLine="720"/>
    </w:pPr>
    <w:rPr>
      <w:rFonts w:ascii="Tahoma" w:hAnsi="Tahoma"/>
      <w:sz w:val="16"/>
      <w:szCs w:val="16"/>
      <w:lang w:val="x-none" w:eastAsia="x-none"/>
    </w:rPr>
  </w:style>
  <w:style w:type="character" w:customStyle="1" w:styleId="BalloonTextChar">
    <w:name w:val="Balloon Text Char"/>
    <w:link w:val="BalloonText"/>
    <w:uiPriority w:val="99"/>
    <w:semiHidden/>
    <w:rsid w:val="004F5F2F"/>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4F5F2F"/>
    <w:pPr>
      <w:tabs>
        <w:tab w:val="center" w:pos="4680"/>
        <w:tab w:val="right" w:pos="9360"/>
      </w:tabs>
    </w:pPr>
    <w:rPr>
      <w:lang w:val="x-none" w:eastAsia="x-none"/>
    </w:rPr>
  </w:style>
  <w:style w:type="character" w:customStyle="1" w:styleId="HeaderChar">
    <w:name w:val="Header Char"/>
    <w:link w:val="Header"/>
    <w:uiPriority w:val="99"/>
    <w:rsid w:val="004F5F2F"/>
    <w:rPr>
      <w:rFonts w:ascii="Arial" w:eastAsia="Times New Roman" w:hAnsi="Arial" w:cs="Times New Roman"/>
      <w:szCs w:val="20"/>
      <w:lang w:val="x-none" w:eastAsia="x-none"/>
    </w:rPr>
  </w:style>
  <w:style w:type="paragraph" w:styleId="Footer">
    <w:name w:val="footer"/>
    <w:basedOn w:val="Normal"/>
    <w:link w:val="FooterChar"/>
    <w:uiPriority w:val="99"/>
    <w:unhideWhenUsed/>
    <w:rsid w:val="004F5F2F"/>
    <w:pPr>
      <w:tabs>
        <w:tab w:val="center" w:pos="4680"/>
        <w:tab w:val="right" w:pos="9360"/>
      </w:tabs>
    </w:pPr>
    <w:rPr>
      <w:lang w:val="x-none" w:eastAsia="x-none"/>
    </w:rPr>
  </w:style>
  <w:style w:type="character" w:customStyle="1" w:styleId="FooterChar">
    <w:name w:val="Footer Char"/>
    <w:link w:val="Footer"/>
    <w:uiPriority w:val="99"/>
    <w:rsid w:val="004F5F2F"/>
    <w:rPr>
      <w:rFonts w:ascii="Arial" w:eastAsia="Times New Roman" w:hAnsi="Arial" w:cs="Times New Roman"/>
      <w:szCs w:val="20"/>
      <w:lang w:val="x-none" w:eastAsia="x-none"/>
    </w:rPr>
  </w:style>
  <w:style w:type="paragraph" w:styleId="CommentSubject">
    <w:name w:val="annotation subject"/>
    <w:basedOn w:val="CommentText"/>
    <w:next w:val="CommentText"/>
    <w:link w:val="CommentSubjectChar"/>
    <w:uiPriority w:val="99"/>
    <w:semiHidden/>
    <w:unhideWhenUsed/>
    <w:rsid w:val="004F5F2F"/>
    <w:pPr>
      <w:spacing w:line="240" w:lineRule="auto"/>
      <w:ind w:right="0" w:firstLine="0"/>
    </w:pPr>
    <w:rPr>
      <w:b/>
      <w:bCs/>
    </w:rPr>
  </w:style>
  <w:style w:type="character" w:customStyle="1" w:styleId="CommentSubjectChar">
    <w:name w:val="Comment Subject Char"/>
    <w:link w:val="CommentSubject"/>
    <w:uiPriority w:val="99"/>
    <w:semiHidden/>
    <w:rsid w:val="004F5F2F"/>
    <w:rPr>
      <w:rFonts w:ascii="Arial" w:eastAsia="Times New Roman" w:hAnsi="Arial" w:cs="Times New Roman"/>
      <w:b/>
      <w:bCs/>
      <w:sz w:val="20"/>
      <w:szCs w:val="20"/>
      <w:lang w:val="x-none" w:eastAsia="x-none"/>
    </w:rPr>
  </w:style>
  <w:style w:type="character" w:styleId="FollowedHyperlink">
    <w:name w:val="FollowedHyperlink"/>
    <w:uiPriority w:val="99"/>
    <w:semiHidden/>
    <w:unhideWhenUsed/>
    <w:rsid w:val="004F5F2F"/>
    <w:rPr>
      <w:color w:val="800080"/>
      <w:u w:val="single"/>
    </w:rPr>
  </w:style>
  <w:style w:type="paragraph" w:styleId="Revision">
    <w:name w:val="Revision"/>
    <w:hidden/>
    <w:uiPriority w:val="99"/>
    <w:semiHidden/>
    <w:rsid w:val="00097EC1"/>
    <w:rPr>
      <w:rFonts w:ascii="Arial" w:eastAsia="Times New Roman" w:hAnsi="Arial"/>
      <w:sz w:val="22"/>
    </w:rPr>
  </w:style>
  <w:style w:type="character" w:customStyle="1" w:styleId="Heading1Char">
    <w:name w:val="Heading 1 Char"/>
    <w:basedOn w:val="DefaultParagraphFont"/>
    <w:link w:val="Heading1"/>
    <w:uiPriority w:val="9"/>
    <w:rsid w:val="00103D3D"/>
    <w:rPr>
      <w:rFonts w:ascii="Arial" w:eastAsia="Times New Roman" w:hAnsi="Arial" w:cs="Arial"/>
      <w:b/>
      <w:snapToGrid w:val="0"/>
      <w:sz w:val="22"/>
      <w:szCs w:val="22"/>
    </w:rPr>
  </w:style>
  <w:style w:type="character" w:customStyle="1" w:styleId="Heading2Char">
    <w:name w:val="Heading 2 Char"/>
    <w:basedOn w:val="DefaultParagraphFont"/>
    <w:link w:val="Heading2"/>
    <w:uiPriority w:val="9"/>
    <w:rsid w:val="00B8506A"/>
    <w:rPr>
      <w:rFonts w:ascii="Arial" w:eastAsiaTheme="majorEastAsia" w:hAnsi="Arial" w:cs="Arial"/>
      <w:snapToGrid w:val="0"/>
      <w:sz w:val="22"/>
      <w:szCs w:val="22"/>
    </w:rPr>
  </w:style>
  <w:style w:type="character" w:customStyle="1" w:styleId="Heading3Char">
    <w:name w:val="Heading 3 Char"/>
    <w:basedOn w:val="DefaultParagraphFont"/>
    <w:link w:val="Heading3"/>
    <w:uiPriority w:val="9"/>
    <w:rsid w:val="00B8506A"/>
    <w:rPr>
      <w:rFonts w:ascii="Arial" w:eastAsiaTheme="majorEastAsia" w:hAnsi="Arial" w:cs="Arial"/>
      <w:snapToGrid w:val="0"/>
      <w:sz w:val="22"/>
      <w:szCs w:val="22"/>
    </w:rPr>
  </w:style>
  <w:style w:type="character" w:customStyle="1" w:styleId="Heading4Char">
    <w:name w:val="Heading 4 Char"/>
    <w:basedOn w:val="DefaultParagraphFont"/>
    <w:link w:val="Heading4"/>
    <w:uiPriority w:val="9"/>
    <w:rsid w:val="00B8506A"/>
    <w:rPr>
      <w:rFonts w:ascii="Arial" w:eastAsiaTheme="majorEastAsia" w:hAnsi="Arial" w:cs="Arial"/>
      <w:sz w:val="22"/>
    </w:rPr>
  </w:style>
  <w:style w:type="character" w:customStyle="1" w:styleId="Heading5Char">
    <w:name w:val="Heading 5 Char"/>
    <w:basedOn w:val="DefaultParagraphFont"/>
    <w:link w:val="Heading5"/>
    <w:uiPriority w:val="9"/>
    <w:rsid w:val="00B8506A"/>
    <w:rPr>
      <w:rFonts w:ascii="Arial" w:eastAsiaTheme="majorEastAsia" w:hAnsi="Arial" w:cstheme="majorBidi"/>
      <w:snapToGrid w:val="0"/>
      <w:sz w:val="22"/>
    </w:rPr>
  </w:style>
  <w:style w:type="character" w:customStyle="1" w:styleId="Heading6Char">
    <w:name w:val="Heading 6 Char"/>
    <w:basedOn w:val="DefaultParagraphFont"/>
    <w:link w:val="Heading6"/>
    <w:uiPriority w:val="9"/>
    <w:rsid w:val="00B8506A"/>
    <w:rPr>
      <w:rFonts w:ascii="Arial" w:eastAsiaTheme="majorEastAsia" w:hAnsi="Arial" w:cs="Arial"/>
      <w:snapToGrid w:val="0"/>
      <w:sz w:val="22"/>
    </w:rPr>
  </w:style>
  <w:style w:type="character" w:styleId="UnresolvedMention">
    <w:name w:val="Unresolved Mention"/>
    <w:basedOn w:val="DefaultParagraphFont"/>
    <w:uiPriority w:val="99"/>
    <w:semiHidden/>
    <w:unhideWhenUsed/>
    <w:rsid w:val="00435564"/>
    <w:rPr>
      <w:color w:val="605E5C"/>
      <w:shd w:val="clear" w:color="auto" w:fill="E1DFDD"/>
    </w:rPr>
  </w:style>
  <w:style w:type="table" w:styleId="TableGrid">
    <w:name w:val="Table Grid"/>
    <w:basedOn w:val="TableNormal"/>
    <w:uiPriority w:val="59"/>
    <w:rsid w:val="0014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0309">
      <w:bodyDiv w:val="1"/>
      <w:marLeft w:val="0"/>
      <w:marRight w:val="0"/>
      <w:marTop w:val="0"/>
      <w:marBottom w:val="0"/>
      <w:divBdr>
        <w:top w:val="none" w:sz="0" w:space="0" w:color="auto"/>
        <w:left w:val="none" w:sz="0" w:space="0" w:color="auto"/>
        <w:bottom w:val="none" w:sz="0" w:space="0" w:color="auto"/>
        <w:right w:val="none" w:sz="0" w:space="0" w:color="auto"/>
      </w:divBdr>
    </w:div>
    <w:div w:id="12639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t.nebraska.gov/business-center/consultant/" TargetMode="External"/><Relationship Id="rId18" Type="http://schemas.openxmlformats.org/officeDocument/2006/relationships/hyperlink" Target="http://dot.nebraska.gov/business-center/consulta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t.nebraska.gov/business-center/consultant/invoices/" TargetMode="External"/><Relationship Id="rId17" Type="http://schemas.openxmlformats.org/officeDocument/2006/relationships/hyperlink" Target="http://www.ecfr.gov/cgi-bin/text-idx?SID=28b37fcc48b096d19a22afb3d8b64305&amp;node=pt48.1.31&amp;rgn=div5" TargetMode="External"/><Relationship Id="rId2" Type="http://schemas.openxmlformats.org/officeDocument/2006/relationships/numbering" Target="numbering.xml"/><Relationship Id="rId16" Type="http://schemas.openxmlformats.org/officeDocument/2006/relationships/hyperlink" Target="https://dot.nebraska.gov/media/mfllv3k5/ndot39-instruction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nebraska.gov/business-center/consultant/invoices/" TargetMode="External"/><Relationship Id="rId5" Type="http://schemas.openxmlformats.org/officeDocument/2006/relationships/webSettings" Target="webSettings.xml"/><Relationship Id="rId15" Type="http://schemas.openxmlformats.org/officeDocument/2006/relationships/hyperlink" Target="http://dot.nebraska.gov/business-center/consultant/onbase-help/" TargetMode="External"/><Relationship Id="rId10" Type="http://schemas.openxmlformats.org/officeDocument/2006/relationships/hyperlink" Target="https://www.gsa.gov/travel/plan-book/per-diem-rat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t.nebraska.gov/business-center/consultant/manuals-forms/" TargetMode="External"/><Relationship Id="rId14" Type="http://schemas.openxmlformats.org/officeDocument/2006/relationships/hyperlink" Target="http://dot.nebraska.gov/business-center/consulta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6015-598A-482C-9D39-918CFB6A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27332</CharactersWithSpaces>
  <SharedDoc>false</SharedDoc>
  <HLinks>
    <vt:vector size="66" baseType="variant">
      <vt:variant>
        <vt:i4>7667750</vt:i4>
      </vt:variant>
      <vt:variant>
        <vt:i4>30</vt:i4>
      </vt:variant>
      <vt:variant>
        <vt:i4>0</vt:i4>
      </vt:variant>
      <vt:variant>
        <vt:i4>5</vt:i4>
      </vt:variant>
      <vt:variant>
        <vt:lpwstr>http://www.transportation.nebraska.gov/rfp/</vt:lpwstr>
      </vt:variant>
      <vt:variant>
        <vt:lpwstr/>
      </vt:variant>
      <vt:variant>
        <vt:i4>983067</vt:i4>
      </vt:variant>
      <vt:variant>
        <vt:i4>27</vt:i4>
      </vt:variant>
      <vt:variant>
        <vt:i4>0</vt:i4>
      </vt:variant>
      <vt:variant>
        <vt:i4>5</vt:i4>
      </vt:variant>
      <vt:variant>
        <vt:lpwstr>http://www.ecfr.gov/cgi-bin/text-idx?SID=28b37fcc48b096d19a22afb3d8b64305&amp;node=pt48.1.31&amp;rgn=div5</vt:lpwstr>
      </vt:variant>
      <vt:variant>
        <vt:lpwstr/>
      </vt:variant>
      <vt:variant>
        <vt:i4>7667750</vt:i4>
      </vt:variant>
      <vt:variant>
        <vt:i4>24</vt:i4>
      </vt:variant>
      <vt:variant>
        <vt:i4>0</vt:i4>
      </vt:variant>
      <vt:variant>
        <vt:i4>5</vt:i4>
      </vt:variant>
      <vt:variant>
        <vt:lpwstr>http://www.transportation.nebraska.gov/rfp/</vt:lpwstr>
      </vt:variant>
      <vt:variant>
        <vt:lpwstr/>
      </vt:variant>
      <vt:variant>
        <vt:i4>4390991</vt:i4>
      </vt:variant>
      <vt:variant>
        <vt:i4>21</vt:i4>
      </vt:variant>
      <vt:variant>
        <vt:i4>0</vt:i4>
      </vt:variant>
      <vt:variant>
        <vt:i4>5</vt:i4>
      </vt:variant>
      <vt:variant>
        <vt:lpwstr>http://www.transportation.nebraska.gov/mat-n-tests/onbase/obinfo.html</vt:lpwstr>
      </vt:variant>
      <vt:variant>
        <vt:lpwstr/>
      </vt:variant>
      <vt:variant>
        <vt:i4>7667750</vt:i4>
      </vt:variant>
      <vt:variant>
        <vt:i4>18</vt:i4>
      </vt:variant>
      <vt:variant>
        <vt:i4>0</vt:i4>
      </vt:variant>
      <vt:variant>
        <vt:i4>5</vt:i4>
      </vt:variant>
      <vt:variant>
        <vt:lpwstr>http://www.transportation.nebraska.gov/rfp/</vt:lpwstr>
      </vt:variant>
      <vt:variant>
        <vt:lpwstr/>
      </vt:variant>
      <vt:variant>
        <vt:i4>983067</vt:i4>
      </vt:variant>
      <vt:variant>
        <vt:i4>15</vt:i4>
      </vt:variant>
      <vt:variant>
        <vt:i4>0</vt:i4>
      </vt:variant>
      <vt:variant>
        <vt:i4>5</vt:i4>
      </vt:variant>
      <vt:variant>
        <vt:lpwstr>http://www.ecfr.gov/cgi-bin/text-idx?SID=28b37fcc48b096d19a22afb3d8b64305&amp;node=pt48.1.31&amp;rgn=div5</vt:lpwstr>
      </vt:variant>
      <vt:variant>
        <vt:lpwstr/>
      </vt:variant>
      <vt:variant>
        <vt:i4>2162747</vt:i4>
      </vt:variant>
      <vt:variant>
        <vt:i4>12</vt:i4>
      </vt:variant>
      <vt:variant>
        <vt:i4>0</vt:i4>
      </vt:variant>
      <vt:variant>
        <vt:i4>5</vt:i4>
      </vt:variant>
      <vt:variant>
        <vt:lpwstr>http://www.ecfr.gov/cgi-bin/text-idx?SID=28b37fcc48b096d19a22afb3d8b64305&amp;node=pt23.1.172&amp;rgn=div5</vt:lpwstr>
      </vt:variant>
      <vt:variant>
        <vt:lpwstr/>
      </vt:variant>
      <vt:variant>
        <vt:i4>4390991</vt:i4>
      </vt:variant>
      <vt:variant>
        <vt:i4>9</vt:i4>
      </vt:variant>
      <vt:variant>
        <vt:i4>0</vt:i4>
      </vt:variant>
      <vt:variant>
        <vt:i4>5</vt:i4>
      </vt:variant>
      <vt:variant>
        <vt:lpwstr>http://www.transportation.nebraska.gov/mat-n-tests/onbase/obinfo.html</vt:lpwstr>
      </vt:variant>
      <vt:variant>
        <vt:lpwstr/>
      </vt:variant>
      <vt:variant>
        <vt:i4>7667750</vt:i4>
      </vt:variant>
      <vt:variant>
        <vt:i4>6</vt:i4>
      </vt:variant>
      <vt:variant>
        <vt:i4>0</vt:i4>
      </vt:variant>
      <vt:variant>
        <vt:i4>5</vt:i4>
      </vt:variant>
      <vt:variant>
        <vt:lpwstr>http://www.transportation.nebraska.gov/rfp/</vt:lpwstr>
      </vt:variant>
      <vt:variant>
        <vt:lpwstr/>
      </vt:variant>
      <vt:variant>
        <vt:i4>983067</vt:i4>
      </vt:variant>
      <vt:variant>
        <vt:i4>3</vt:i4>
      </vt:variant>
      <vt:variant>
        <vt:i4>0</vt:i4>
      </vt:variant>
      <vt:variant>
        <vt:i4>5</vt:i4>
      </vt:variant>
      <vt:variant>
        <vt:lpwstr>http://www.ecfr.gov/cgi-bin/text-idx?SID=28b37fcc48b096d19a22afb3d8b64305&amp;node=pt48.1.31&amp;rgn=div5</vt:lpwstr>
      </vt:variant>
      <vt:variant>
        <vt:lpwstr/>
      </vt:variant>
      <vt:variant>
        <vt:i4>5308438</vt:i4>
      </vt:variant>
      <vt:variant>
        <vt:i4>0</vt:i4>
      </vt:variant>
      <vt:variant>
        <vt:i4>0</vt:i4>
      </vt:variant>
      <vt:variant>
        <vt:i4>5</vt:i4>
      </vt:variant>
      <vt:variant>
        <vt:lpwstr>http://www.gsa.gov/portal/category/100120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Knott</dc:creator>
  <cp:keywords/>
  <dc:description/>
  <cp:lastModifiedBy>Rockemann, Jared</cp:lastModifiedBy>
  <cp:revision>4</cp:revision>
  <cp:lastPrinted>2020-08-12T19:39:00Z</cp:lastPrinted>
  <dcterms:created xsi:type="dcterms:W3CDTF">2025-11-25T19:34:00Z</dcterms:created>
  <dcterms:modified xsi:type="dcterms:W3CDTF">2025-11-25T19:35:00Z</dcterms:modified>
</cp:coreProperties>
</file>